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B8E3" w14:textId="3A829F08" w:rsidR="00713948" w:rsidRDefault="00A33DFF" w:rsidP="00605759">
      <w:r>
        <w:t xml:space="preserve">ŘO OP TAK informuje o plánované výzvě Aplikace – Mezinárodní spolupráce a poskytuje žadatelům a zájemcům o zapojení se do dotační podpory předběžné informace: </w:t>
      </w:r>
    </w:p>
    <w:p w14:paraId="71BFA20D" w14:textId="77777777" w:rsidR="00A33DFF" w:rsidRPr="00A002AA" w:rsidRDefault="00A33DFF" w:rsidP="00A33DFF">
      <w:pPr>
        <w:keepNext/>
        <w:keepLines/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A002AA">
        <w:rPr>
          <w:rFonts w:cs="Arial"/>
          <w:b/>
          <w:bCs/>
        </w:rPr>
        <w:t>Základní informace</w:t>
      </w:r>
      <w:r>
        <w:rPr>
          <w:rFonts w:cs="Arial"/>
          <w:b/>
          <w:bCs/>
        </w:rPr>
        <w:t xml:space="preserve"> k výzvě</w:t>
      </w:r>
      <w:r w:rsidRPr="00A002AA">
        <w:rPr>
          <w:rFonts w:cs="Arial"/>
          <w:b/>
          <w:bCs/>
        </w:rPr>
        <w:t>:</w:t>
      </w: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5"/>
        <w:gridCol w:w="5906"/>
      </w:tblGrid>
      <w:tr w:rsidR="00A33DFF" w:rsidRPr="00A002AA" w14:paraId="1D3ED58B" w14:textId="77777777" w:rsidTr="00D62616">
        <w:trPr>
          <w:trHeight w:val="537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98AEC0" w14:textId="77777777" w:rsidR="00A33DFF" w:rsidRPr="00A002AA" w:rsidRDefault="00A33DFF" w:rsidP="00D62616">
            <w:pPr>
              <w:spacing w:after="0"/>
              <w:rPr>
                <w:rFonts w:cs="Arial"/>
                <w:b/>
                <w:szCs w:val="20"/>
              </w:rPr>
            </w:pPr>
            <w:r w:rsidRPr="00A002AA">
              <w:rPr>
                <w:rFonts w:cs="Arial"/>
                <w:b/>
                <w:szCs w:val="20"/>
              </w:rPr>
              <w:t>Druh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74C1E2" w14:textId="02F0DCA5" w:rsidR="00A33DFF" w:rsidRPr="00480942" w:rsidRDefault="00480942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r w:rsidRPr="00480942">
              <w:rPr>
                <w:rFonts w:cs="Arial"/>
                <w:iCs/>
                <w:szCs w:val="20"/>
              </w:rPr>
              <w:t>P</w:t>
            </w:r>
            <w:r w:rsidR="00A33DFF" w:rsidRPr="00480942">
              <w:rPr>
                <w:rFonts w:cs="Arial"/>
                <w:iCs/>
                <w:szCs w:val="20"/>
              </w:rPr>
              <w:t>růběžná</w:t>
            </w:r>
          </w:p>
        </w:tc>
      </w:tr>
      <w:tr w:rsidR="00A33DFF" w:rsidRPr="00A002AA" w14:paraId="67C92DED" w14:textId="77777777" w:rsidTr="00D62616">
        <w:trPr>
          <w:trHeight w:val="674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92F231" w14:textId="76405E13" w:rsidR="00A33DFF" w:rsidRPr="00A002AA" w:rsidRDefault="00A33DFF" w:rsidP="00D62616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Plánované d</w:t>
            </w:r>
            <w:r w:rsidRPr="00A002AA">
              <w:rPr>
                <w:rFonts w:cs="Arial"/>
                <w:b/>
              </w:rPr>
              <w:t>atum vyhlášení výzvy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1FA39" w14:textId="78582884" w:rsidR="00480942" w:rsidRPr="00A002AA" w:rsidRDefault="00480942" w:rsidP="00D62616">
            <w:pPr>
              <w:spacing w:after="0"/>
              <w:jc w:val="both"/>
              <w:rPr>
                <w:rFonts w:cs="Arial"/>
                <w:szCs w:val="20"/>
              </w:rPr>
            </w:pPr>
            <w:r w:rsidRPr="00480942">
              <w:rPr>
                <w:rFonts w:cs="Arial"/>
                <w:szCs w:val="20"/>
              </w:rPr>
              <w:t>20. 09. 2024</w:t>
            </w:r>
          </w:p>
        </w:tc>
      </w:tr>
      <w:tr w:rsidR="00032CDA" w:rsidRPr="00A002AA" w14:paraId="3B2D6E34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FD210D" w14:textId="13702559" w:rsidR="00032CDA" w:rsidRDefault="00032CDA" w:rsidP="00D62616">
            <w:pPr>
              <w:spacing w:after="0"/>
              <w:rPr>
                <w:rFonts w:cs="Arial"/>
                <w:b/>
              </w:rPr>
            </w:pPr>
            <w:r w:rsidRPr="00032CDA">
              <w:rPr>
                <w:rFonts w:cs="Arial"/>
                <w:b/>
              </w:rPr>
              <w:t>Zahájení příjmu žádostí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E9ECC7" w14:textId="7CACA781" w:rsidR="00032CDA" w:rsidRDefault="00032CDA" w:rsidP="00D62616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04.10.2024; 10:00:00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A33DFF" w:rsidRPr="00A002AA" w14:paraId="19D4A505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F3D968" w14:textId="77777777" w:rsidR="00A33DFF" w:rsidRPr="00A002AA" w:rsidRDefault="00A33DFF" w:rsidP="00D62616">
            <w:pPr>
              <w:spacing w:after="0"/>
              <w:rPr>
                <w:rFonts w:cs="Arial"/>
                <w:b/>
              </w:rPr>
            </w:pPr>
            <w:r w:rsidRPr="00A002AA">
              <w:rPr>
                <w:rFonts w:cs="Arial"/>
                <w:b/>
              </w:rPr>
              <w:t>Předpokládané datum ukončení příjmu žádostí o podporu v MS2021+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E82B5F" w14:textId="078581C1" w:rsidR="00A33DFF" w:rsidRPr="00A002AA" w:rsidRDefault="00480942" w:rsidP="00D62616">
            <w:pPr>
              <w:spacing w:after="0"/>
              <w:jc w:val="both"/>
              <w:rPr>
                <w:rFonts w:cs="Arial"/>
                <w:szCs w:val="20"/>
              </w:rPr>
            </w:pPr>
            <w:r w:rsidRPr="00480942">
              <w:rPr>
                <w:rFonts w:cs="Arial"/>
                <w:szCs w:val="20"/>
              </w:rPr>
              <w:t>31.12.2027; 16:00:00</w:t>
            </w:r>
          </w:p>
        </w:tc>
      </w:tr>
      <w:tr w:rsidR="00A33DFF" w:rsidRPr="00A002AA" w14:paraId="6734CA27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B6B90" w14:textId="77777777" w:rsidR="00A33DFF" w:rsidRPr="00A002AA" w:rsidRDefault="00A33DFF" w:rsidP="00D62616">
            <w:pPr>
              <w:spacing w:after="0"/>
              <w:rPr>
                <w:rFonts w:cs="Arial"/>
                <w:b/>
              </w:rPr>
            </w:pPr>
            <w:r w:rsidRPr="00A002AA">
              <w:rPr>
                <w:rFonts w:cs="Arial"/>
                <w:b/>
              </w:rPr>
              <w:t>Předpokládaná alokace</w:t>
            </w:r>
            <w:r>
              <w:rPr>
                <w:rFonts w:cs="Arial"/>
                <w:b/>
              </w:rPr>
              <w:t xml:space="preserve">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953386" w14:textId="77777777" w:rsidR="00A33DFF" w:rsidRDefault="00480942" w:rsidP="00D62616">
            <w:pPr>
              <w:spacing w:after="0"/>
              <w:jc w:val="both"/>
              <w:rPr>
                <w:rStyle w:val="eop"/>
                <w:rFonts w:ascii="Calibri" w:hAnsi="Calibri" w:cs="Calibri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250 mil. Kč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4FEA365F" w14:textId="251303A5" w:rsidR="004D2038" w:rsidRPr="00A002AA" w:rsidRDefault="004D2038" w:rsidP="00D62616">
            <w:pPr>
              <w:spacing w:after="0"/>
              <w:jc w:val="both"/>
              <w:rPr>
                <w:rFonts w:cs="Arial"/>
                <w:szCs w:val="20"/>
              </w:rPr>
            </w:pPr>
            <w:r w:rsidRPr="004D2038">
              <w:rPr>
                <w:rStyle w:val="eop"/>
                <w:rFonts w:ascii="Calibri" w:hAnsi="Calibri" w:cs="Calibri"/>
                <w:shd w:val="clear" w:color="auto" w:fill="FFFFFF"/>
              </w:rPr>
              <w:t>Řídící orgán OP TAK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 xml:space="preserve"> může</w:t>
            </w:r>
            <w:r w:rsidRPr="004D2038">
              <w:rPr>
                <w:rStyle w:val="eop"/>
                <w:rFonts w:ascii="Calibri" w:hAnsi="Calibri" w:cs="Calibri"/>
                <w:shd w:val="clear" w:color="auto" w:fill="FFFFFF"/>
              </w:rPr>
              <w:t xml:space="preserve"> alokaci na tuto Výzvu adekvátně navýšit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A33DFF" w:rsidRPr="00A002AA" w14:paraId="54209BDF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0092A0" w14:textId="77777777" w:rsidR="00A33DFF" w:rsidRPr="00A002AA" w:rsidRDefault="00A33DFF" w:rsidP="00D6261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05F1F8" w14:textId="1905B405" w:rsidR="00A33DFF" w:rsidRPr="00480942" w:rsidRDefault="00480942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bookmarkStart w:id="0" w:name="_Hlk173316087"/>
            <w:r w:rsidRPr="00480942">
              <w:rPr>
                <w:rFonts w:cs="Arial"/>
                <w:iCs/>
                <w:szCs w:val="20"/>
              </w:rPr>
              <w:t>Realizace průmyslového výzkumu a experimentálního vývoje ve smyslu článku GBER 25 realizované ve spolupráci s alespoň jedním mezinárodním partnerem</w:t>
            </w:r>
            <w:r w:rsidR="004822E7">
              <w:rPr>
                <w:rFonts w:cs="Arial"/>
                <w:iCs/>
                <w:szCs w:val="20"/>
              </w:rPr>
              <w:t xml:space="preserve">, kterého výdaje jsou hrazené </w:t>
            </w:r>
            <w:r w:rsidR="004822E7" w:rsidRPr="004822E7">
              <w:rPr>
                <w:rFonts w:cs="Arial"/>
                <w:iCs/>
                <w:szCs w:val="20"/>
              </w:rPr>
              <w:t>z příslušných regionálních či národních programů partnerských zem</w:t>
            </w:r>
            <w:r w:rsidR="004822E7">
              <w:rPr>
                <w:rFonts w:cs="Arial"/>
                <w:iCs/>
                <w:szCs w:val="20"/>
              </w:rPr>
              <w:t xml:space="preserve">í. </w:t>
            </w:r>
            <w:bookmarkEnd w:id="0"/>
          </w:p>
        </w:tc>
      </w:tr>
      <w:tr w:rsidR="004067BC" w:rsidRPr="00A002AA" w14:paraId="73900A66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1B9C0D" w14:textId="1B6FF32A" w:rsidR="004067BC" w:rsidRDefault="004067BC" w:rsidP="00D6261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Míra spolufinancování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D05159" w14:textId="51AAF570" w:rsidR="004067BC" w:rsidRDefault="004067BC" w:rsidP="00D62616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Dle kategorie činnosti (PV/EV) a velikosti podniku 25 % - 80 %,</w:t>
            </w:r>
          </w:p>
          <w:p w14:paraId="213E715F" w14:textId="42CD9AEC" w:rsidR="004067BC" w:rsidRPr="00480942" w:rsidRDefault="004067BC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szCs w:val="20"/>
              </w:rPr>
              <w:t xml:space="preserve">VO 85 % </w:t>
            </w:r>
          </w:p>
        </w:tc>
      </w:tr>
      <w:tr w:rsidR="004D2038" w:rsidRPr="00A002AA" w14:paraId="6C5AC136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3DA64C" w14:textId="6517E2D2" w:rsidR="004D2038" w:rsidRDefault="004D2038" w:rsidP="00D6261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Pr="004D2038">
              <w:rPr>
                <w:rFonts w:cs="Arial"/>
                <w:b/>
              </w:rPr>
              <w:t xml:space="preserve">inimální </w:t>
            </w:r>
            <w:r>
              <w:rPr>
                <w:rFonts w:cs="Arial"/>
                <w:b/>
              </w:rPr>
              <w:t>a m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aximální výše dotace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216CE1" w14:textId="2229A9C6" w:rsidR="004D2038" w:rsidRDefault="004D2038" w:rsidP="00D62616">
            <w:pPr>
              <w:spacing w:after="0"/>
              <w:jc w:val="both"/>
              <w:rPr>
                <w:rFonts w:cs="Arial"/>
                <w:szCs w:val="20"/>
              </w:rPr>
            </w:pPr>
            <w:r w:rsidRPr="004D2038">
              <w:rPr>
                <w:rFonts w:cs="Arial"/>
                <w:szCs w:val="20"/>
              </w:rPr>
              <w:t>Dotace na projekt je poskytována minimálně ve výši 3 mil. Kč a maximálně do výše 50 mil. Kč.</w:t>
            </w:r>
          </w:p>
        </w:tc>
      </w:tr>
      <w:tr w:rsidR="004067BC" w:rsidRPr="00A002AA" w14:paraId="768D85DF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089F9E" w14:textId="77777777" w:rsidR="004067BC" w:rsidRPr="00A002AA" w:rsidRDefault="004067BC" w:rsidP="00D62616">
            <w:pPr>
              <w:spacing w:after="0"/>
              <w:rPr>
                <w:rFonts w:cs="Arial"/>
                <w:b/>
              </w:rPr>
            </w:pPr>
            <w:r w:rsidRPr="00A002AA">
              <w:rPr>
                <w:rFonts w:cs="Arial"/>
                <w:b/>
              </w:rPr>
              <w:t>Oprávnění žadatelé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C4137" w14:textId="54E78A97" w:rsidR="004067BC" w:rsidRPr="004067BC" w:rsidRDefault="004067BC" w:rsidP="00D62616">
            <w:pPr>
              <w:pStyle w:val="Odstavecseseznamem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szCs w:val="20"/>
              </w:rPr>
            </w:pPr>
            <w:r w:rsidRPr="004067BC">
              <w:rPr>
                <w:rFonts w:cs="Arial"/>
                <w:szCs w:val="20"/>
              </w:rPr>
              <w:t xml:space="preserve">MSP, </w:t>
            </w:r>
          </w:p>
          <w:p w14:paraId="31A2DA4F" w14:textId="34A418C8" w:rsidR="004067BC" w:rsidRPr="004067BC" w:rsidRDefault="004067BC" w:rsidP="00D62616">
            <w:pPr>
              <w:pStyle w:val="Odstavecseseznamem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szCs w:val="20"/>
              </w:rPr>
            </w:pPr>
            <w:r w:rsidRPr="004067BC">
              <w:rPr>
                <w:rFonts w:cs="Arial"/>
                <w:szCs w:val="20"/>
              </w:rPr>
              <w:t>velké podniky nad 3000 zaměstnanců pouze v spolupráci s MSP (30 % CZV), nebo s MSP a VO</w:t>
            </w:r>
            <w:r>
              <w:rPr>
                <w:rFonts w:cs="Arial"/>
                <w:szCs w:val="20"/>
              </w:rPr>
              <w:t>,</w:t>
            </w:r>
          </w:p>
          <w:p w14:paraId="1FE02F91" w14:textId="10AF56D5" w:rsidR="004067BC" w:rsidRPr="004067BC" w:rsidRDefault="004067BC" w:rsidP="00D62616">
            <w:pPr>
              <w:pStyle w:val="Odstavecseseznamem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szCs w:val="20"/>
              </w:rPr>
            </w:pPr>
            <w:r w:rsidRPr="004067BC">
              <w:rPr>
                <w:rFonts w:cs="Arial"/>
                <w:szCs w:val="20"/>
              </w:rPr>
              <w:t>VO pouze v roli partnera</w:t>
            </w:r>
          </w:p>
        </w:tc>
      </w:tr>
      <w:tr w:rsidR="004067BC" w:rsidRPr="00A002AA" w14:paraId="0934F293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55B5B2" w14:textId="77777777" w:rsidR="004067BC" w:rsidRPr="00A002AA" w:rsidRDefault="004067BC" w:rsidP="00D6261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Územní zaměření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2846E8" w14:textId="526D72DA" w:rsidR="004067BC" w:rsidRPr="00620714" w:rsidRDefault="004067BC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t>Území České republiky, mimo NUTS 2 Praha</w:t>
            </w:r>
          </w:p>
        </w:tc>
      </w:tr>
      <w:tr w:rsidR="004067BC" w:rsidRPr="00A002AA" w14:paraId="0294DB11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4A9F08" w14:textId="77777777" w:rsidR="004067BC" w:rsidRDefault="004067BC" w:rsidP="00D6261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Způsobilé výdaje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BEF913" w14:textId="6910F8AA" w:rsidR="004067BC" w:rsidRPr="00620714" w:rsidRDefault="004067BC" w:rsidP="00D62616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iCs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t>externí služby (smluvní výzkum,</w:t>
            </w:r>
            <w:r w:rsidR="003D43F1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="003D43F1">
              <w:rPr>
                <w:rFonts w:cs="Arial"/>
                <w:iCs/>
                <w:szCs w:val="20"/>
              </w:rPr>
              <w:t>VaV</w:t>
            </w:r>
            <w:proofErr w:type="spellEnd"/>
            <w:r w:rsidRPr="00620714">
              <w:rPr>
                <w:rFonts w:cs="Arial"/>
                <w:iCs/>
                <w:szCs w:val="20"/>
              </w:rPr>
              <w:t xml:space="preserve"> poradenské služby využité pro účely projektu a ostatní provozní náklady</w:t>
            </w:r>
            <w:r>
              <w:rPr>
                <w:rFonts w:cs="Arial"/>
                <w:iCs/>
                <w:szCs w:val="20"/>
              </w:rPr>
              <w:t>)</w:t>
            </w:r>
            <w:r w:rsidRPr="00620714">
              <w:rPr>
                <w:rFonts w:cs="Arial"/>
                <w:iCs/>
                <w:szCs w:val="20"/>
              </w:rPr>
              <w:t xml:space="preserve"> max. ve výši 30 % CZV</w:t>
            </w:r>
            <w:r w:rsidR="003D43F1">
              <w:rPr>
                <w:rFonts w:cs="Arial"/>
                <w:iCs/>
                <w:szCs w:val="20"/>
              </w:rPr>
              <w:t>,</w:t>
            </w:r>
            <w:r w:rsidRPr="00620714">
              <w:rPr>
                <w:rFonts w:cs="Arial"/>
                <w:iCs/>
                <w:szCs w:val="20"/>
              </w:rPr>
              <w:t xml:space="preserve"> </w:t>
            </w:r>
          </w:p>
          <w:p w14:paraId="045FF214" w14:textId="394A9609" w:rsidR="004067BC" w:rsidRPr="00620714" w:rsidRDefault="004067BC" w:rsidP="00D62616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iCs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t>osobní náklady – mzdy a pojistné výzkumných pracovníků</w:t>
            </w:r>
            <w:r>
              <w:rPr>
                <w:rFonts w:cs="Arial"/>
                <w:iCs/>
                <w:szCs w:val="20"/>
              </w:rPr>
              <w:t>,</w:t>
            </w:r>
            <w:r w:rsidRPr="00620714">
              <w:rPr>
                <w:rFonts w:cs="Arial"/>
                <w:iCs/>
                <w:szCs w:val="20"/>
              </w:rPr>
              <w:t xml:space="preserve"> techniků a ostatního technického podpůrného personálu v rozsahu nezbytném pro účely projektu</w:t>
            </w:r>
            <w:r w:rsidR="003D43F1">
              <w:rPr>
                <w:rFonts w:cs="Arial"/>
                <w:iCs/>
                <w:szCs w:val="20"/>
              </w:rPr>
              <w:t>,</w:t>
            </w:r>
            <w:r w:rsidRPr="00620714">
              <w:rPr>
                <w:rFonts w:cs="Arial"/>
                <w:iCs/>
                <w:szCs w:val="20"/>
              </w:rPr>
              <w:t xml:space="preserve"> </w:t>
            </w:r>
          </w:p>
          <w:p w14:paraId="172B37FE" w14:textId="7EAF4CA5" w:rsidR="004067BC" w:rsidRPr="00620714" w:rsidRDefault="004067BC" w:rsidP="00D62616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iCs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t xml:space="preserve">náklady na nástroje, přístroje a vybavení pořízených od třetích stran v podobě odpisů dlouhodobého hmotného movitého majetku, v nezbytném rozsahu a po dobu, kdy jsou využívány pro účely projektu max. </w:t>
            </w:r>
            <w:r w:rsidR="003D43F1">
              <w:rPr>
                <w:rFonts w:cs="Arial"/>
                <w:iCs/>
                <w:szCs w:val="20"/>
              </w:rPr>
              <w:t>v</w:t>
            </w:r>
            <w:r w:rsidRPr="00620714">
              <w:rPr>
                <w:rFonts w:cs="Arial"/>
                <w:iCs/>
                <w:szCs w:val="20"/>
              </w:rPr>
              <w:t>e výši 20 % CZV</w:t>
            </w:r>
            <w:r w:rsidR="003D43F1">
              <w:rPr>
                <w:rFonts w:cs="Arial"/>
                <w:iCs/>
                <w:szCs w:val="20"/>
              </w:rPr>
              <w:t>,</w:t>
            </w:r>
            <w:r w:rsidRPr="00620714">
              <w:rPr>
                <w:rFonts w:cs="Arial"/>
                <w:iCs/>
                <w:szCs w:val="20"/>
              </w:rPr>
              <w:t xml:space="preserve"> </w:t>
            </w:r>
          </w:p>
          <w:p w14:paraId="27719949" w14:textId="28A01580" w:rsidR="004067BC" w:rsidRPr="00620714" w:rsidRDefault="004067BC" w:rsidP="00D62616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iCs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lastRenderedPageBreak/>
              <w:t>náklady na materiál a komponenty</w:t>
            </w:r>
            <w:r w:rsidR="003D43F1">
              <w:rPr>
                <w:rFonts w:cs="Arial"/>
                <w:iCs/>
                <w:szCs w:val="20"/>
              </w:rPr>
              <w:t>,</w:t>
            </w:r>
            <w:r w:rsidRPr="00620714">
              <w:rPr>
                <w:rFonts w:cs="Arial"/>
                <w:iCs/>
                <w:szCs w:val="20"/>
              </w:rPr>
              <w:t xml:space="preserve"> </w:t>
            </w:r>
          </w:p>
          <w:p w14:paraId="7CC3E77F" w14:textId="4C124E46" w:rsidR="004067BC" w:rsidRPr="00620714" w:rsidRDefault="004067BC" w:rsidP="00D62616">
            <w:pPr>
              <w:pStyle w:val="Odstavecseseznamem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i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t>paušální náklady (dodatečné režijní náklady) ve výši 15 % z osobních nákladů</w:t>
            </w:r>
            <w:r w:rsidRPr="00620714">
              <w:rPr>
                <w:rFonts w:cs="Arial"/>
                <w:i/>
                <w:szCs w:val="20"/>
              </w:rPr>
              <w:t xml:space="preserve">.  </w:t>
            </w:r>
          </w:p>
        </w:tc>
      </w:tr>
      <w:tr w:rsidR="004067BC" w:rsidRPr="00A002AA" w14:paraId="2797F380" w14:textId="77777777" w:rsidTr="00032CDA">
        <w:trPr>
          <w:trHeight w:val="743"/>
        </w:trPr>
        <w:tc>
          <w:tcPr>
            <w:tcW w:w="32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A4CC42" w14:textId="77777777" w:rsidR="004067BC" w:rsidRDefault="004067BC" w:rsidP="00D6261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Náležitosti žádosti o podporu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0408C7" w14:textId="2999AB78" w:rsidR="004067BC" w:rsidRDefault="004067BC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r w:rsidRPr="00620714">
              <w:rPr>
                <w:rFonts w:cs="Arial"/>
                <w:iCs/>
                <w:szCs w:val="20"/>
              </w:rPr>
              <w:t>Podnikatelský záměr, tabulky rozpočtových položek a Formulář prověření zásady „významně nepoškozovat</w:t>
            </w:r>
            <w:r>
              <w:rPr>
                <w:rFonts w:cs="Arial"/>
                <w:iCs/>
                <w:szCs w:val="20"/>
              </w:rPr>
              <w:t>, pokud relevantní tak ČP partnerů;</w:t>
            </w:r>
          </w:p>
          <w:p w14:paraId="4DD0F4E5" w14:textId="42906737" w:rsidR="004067BC" w:rsidRDefault="004067BC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Specifickou podmínkou je </w:t>
            </w:r>
            <w:r w:rsidRPr="00620714">
              <w:rPr>
                <w:rFonts w:cs="Arial"/>
                <w:iCs/>
                <w:szCs w:val="20"/>
              </w:rPr>
              <w:t xml:space="preserve">přihláška do mezinárodní sítě </w:t>
            </w:r>
            <w:proofErr w:type="spellStart"/>
            <w:r w:rsidRPr="00620714">
              <w:rPr>
                <w:rFonts w:cs="Arial"/>
                <w:iCs/>
                <w:szCs w:val="20"/>
              </w:rPr>
              <w:t>IraSME</w:t>
            </w:r>
            <w:proofErr w:type="spellEnd"/>
            <w:r w:rsidRPr="00620714">
              <w:rPr>
                <w:rFonts w:cs="Arial"/>
                <w:iCs/>
                <w:szCs w:val="20"/>
              </w:rPr>
              <w:t xml:space="preserve"> nebo </w:t>
            </w:r>
            <w:r w:rsidR="00832D45">
              <w:rPr>
                <w:rFonts w:cs="Arial"/>
                <w:iCs/>
                <w:szCs w:val="20"/>
              </w:rPr>
              <w:t xml:space="preserve">doložení </w:t>
            </w:r>
            <w:r w:rsidRPr="00620714">
              <w:rPr>
                <w:rFonts w:cs="Arial"/>
                <w:iCs/>
                <w:szCs w:val="20"/>
              </w:rPr>
              <w:t xml:space="preserve">jiného mechanismu </w:t>
            </w:r>
            <w:r w:rsidR="00832D45">
              <w:rPr>
                <w:rFonts w:cs="Arial"/>
                <w:iCs/>
                <w:szCs w:val="20"/>
              </w:rPr>
              <w:t xml:space="preserve">zajištění </w:t>
            </w:r>
            <w:r w:rsidRPr="00620714">
              <w:rPr>
                <w:rFonts w:cs="Arial"/>
                <w:iCs/>
                <w:szCs w:val="20"/>
              </w:rPr>
              <w:t>financování zahraničních partnerů</w:t>
            </w:r>
            <w:r w:rsidR="00832D45">
              <w:rPr>
                <w:rFonts w:cs="Arial"/>
                <w:iCs/>
                <w:szCs w:val="20"/>
              </w:rPr>
              <w:t xml:space="preserve"> (z národních či regionálních programů podpory)</w:t>
            </w:r>
            <w:r w:rsidR="003D43F1">
              <w:rPr>
                <w:rFonts w:cs="Arial"/>
                <w:iCs/>
                <w:szCs w:val="20"/>
              </w:rPr>
              <w:t>.</w:t>
            </w:r>
          </w:p>
          <w:p w14:paraId="043CB27C" w14:textId="3362E4A0" w:rsidR="003D43F1" w:rsidRPr="00620714" w:rsidRDefault="003D43F1" w:rsidP="00D62616">
            <w:pPr>
              <w:spacing w:after="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Seznam zapojených států bude přílohou Výzvy</w:t>
            </w:r>
            <w:r w:rsidR="00E61543">
              <w:rPr>
                <w:rFonts w:cs="Arial"/>
                <w:iCs/>
                <w:szCs w:val="20"/>
              </w:rPr>
              <w:t xml:space="preserve">. Seznam bude možné rozšířit.  </w:t>
            </w:r>
          </w:p>
        </w:tc>
      </w:tr>
    </w:tbl>
    <w:p w14:paraId="7E5E5EE1" w14:textId="77777777" w:rsidR="00A33DFF" w:rsidRPr="00605759" w:rsidRDefault="00A33DFF" w:rsidP="00605759"/>
    <w:sectPr w:rsidR="00A33DFF" w:rsidRPr="00605759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BEBC" w14:textId="77777777" w:rsidR="003E20D5" w:rsidRDefault="003E20D5" w:rsidP="00677FE0">
      <w:pPr>
        <w:spacing w:after="0" w:line="240" w:lineRule="auto"/>
      </w:pPr>
      <w:r>
        <w:separator/>
      </w:r>
    </w:p>
  </w:endnote>
  <w:endnote w:type="continuationSeparator" w:id="0">
    <w:p w14:paraId="24427F20" w14:textId="77777777" w:rsidR="003E20D5" w:rsidRDefault="003E20D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A881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222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747C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420F" w14:textId="77777777" w:rsidR="003E20D5" w:rsidRDefault="003E20D5" w:rsidP="00677FE0">
      <w:pPr>
        <w:spacing w:after="0" w:line="240" w:lineRule="auto"/>
      </w:pPr>
      <w:r>
        <w:separator/>
      </w:r>
    </w:p>
  </w:footnote>
  <w:footnote w:type="continuationSeparator" w:id="0">
    <w:p w14:paraId="48706F39" w14:textId="77777777" w:rsidR="003E20D5" w:rsidRDefault="003E20D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847F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5B6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3A26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6967E33"/>
    <w:multiLevelType w:val="hybridMultilevel"/>
    <w:tmpl w:val="64BAB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EA96B46"/>
    <w:multiLevelType w:val="hybridMultilevel"/>
    <w:tmpl w:val="31C6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29"/>
  </w:num>
  <w:num w:numId="3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F"/>
    <w:rsid w:val="00015306"/>
    <w:rsid w:val="0002674B"/>
    <w:rsid w:val="00032CDA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D43F1"/>
    <w:rsid w:val="003E20D5"/>
    <w:rsid w:val="004067BC"/>
    <w:rsid w:val="0041427F"/>
    <w:rsid w:val="004509E5"/>
    <w:rsid w:val="00480942"/>
    <w:rsid w:val="004822E7"/>
    <w:rsid w:val="00486FB9"/>
    <w:rsid w:val="004C212A"/>
    <w:rsid w:val="004D2038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20714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32D45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33DFF"/>
    <w:rsid w:val="00A464B4"/>
    <w:rsid w:val="00A47CCF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62616"/>
    <w:rsid w:val="00D73CB8"/>
    <w:rsid w:val="00DA7591"/>
    <w:rsid w:val="00E32798"/>
    <w:rsid w:val="00E33CC8"/>
    <w:rsid w:val="00E51C91"/>
    <w:rsid w:val="00E61543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755AB"/>
  <w15:chartTrackingRefBased/>
  <w15:docId w15:val="{DFB96553-A7BF-4D23-A71F-8E29633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A3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80942"/>
  </w:style>
  <w:style w:type="character" w:customStyle="1" w:styleId="eop">
    <w:name w:val="eop"/>
    <w:basedOn w:val="Standardnpsmoodstavce"/>
    <w:rsid w:val="0048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Haringová Ingrid</cp:lastModifiedBy>
  <cp:revision>3</cp:revision>
  <dcterms:created xsi:type="dcterms:W3CDTF">2024-07-31T09:06:00Z</dcterms:created>
  <dcterms:modified xsi:type="dcterms:W3CDTF">2024-07-31T09:12:00Z</dcterms:modified>
</cp:coreProperties>
</file>