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9F9B" w14:textId="2D5BAFD6" w:rsidR="007E2162" w:rsidRDefault="007E2162" w:rsidP="007E2162">
      <w:pPr>
        <w:pStyle w:val="Nadpisobsahu"/>
        <w:jc w:val="center"/>
      </w:pPr>
      <w:r>
        <w:t xml:space="preserve">Příloha č. </w:t>
      </w:r>
      <w:r w:rsidR="006103EF">
        <w:t>8</w:t>
      </w:r>
      <w:r w:rsidR="001853E6">
        <w:t>.</w:t>
      </w:r>
      <w:r>
        <w:t xml:space="preserve">a, </w:t>
      </w:r>
      <w:proofErr w:type="gramStart"/>
      <w:r w:rsidR="006103EF">
        <w:t>8</w:t>
      </w:r>
      <w:r w:rsidR="001853E6">
        <w:t>.</w:t>
      </w:r>
      <w:r>
        <w:t>b  Úspory</w:t>
      </w:r>
      <w:proofErr w:type="gramEnd"/>
      <w:r>
        <w:t xml:space="preserve"> energie – výzva </w:t>
      </w:r>
      <w:r w:rsidR="000A693A">
        <w:t>I</w:t>
      </w:r>
      <w:r>
        <w:t>I.</w:t>
      </w:r>
    </w:p>
    <w:p w14:paraId="6F8C8484" w14:textId="02A5B5E4" w:rsidR="0061343A" w:rsidRDefault="000A693A" w:rsidP="007E2162">
      <w:pPr>
        <w:pStyle w:val="Nadpisobsahu"/>
        <w:jc w:val="center"/>
      </w:pPr>
      <w:r>
        <w:t>8</w:t>
      </w:r>
      <w:r w:rsidR="00811C92" w:rsidRPr="00811C92">
        <w:t>.</w:t>
      </w:r>
      <w:r w:rsidR="00811C92">
        <w:t>a</w:t>
      </w:r>
      <w:r w:rsidR="00811C92" w:rsidRPr="00811C92">
        <w:t xml:space="preserve"> – </w:t>
      </w:r>
      <w:r w:rsidR="0061343A" w:rsidRPr="007E2162">
        <w:t>Výčet specifických podmínek</w:t>
      </w:r>
      <w:r w:rsidR="00F0004D" w:rsidRPr="007E2162">
        <w:t xml:space="preserve"> programu</w:t>
      </w:r>
      <w:r w:rsidR="0061343A" w:rsidRPr="007E2162">
        <w:t xml:space="preserve">, ke kterým se </w:t>
      </w:r>
      <w:r>
        <w:t>vyjadřuje</w:t>
      </w:r>
      <w:r w:rsidR="0061343A" w:rsidRPr="007E2162">
        <w:t xml:space="preserve"> energetický specialista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8"/>
        <w:gridCol w:w="4971"/>
        <w:gridCol w:w="2691"/>
      </w:tblGrid>
      <w:tr w:rsidR="00630F96" w:rsidRPr="006361DB" w14:paraId="5D6473E8" w14:textId="77777777" w:rsidTr="00E02CA8">
        <w:trPr>
          <w:trHeight w:val="615"/>
          <w:tblHeader/>
        </w:trPr>
        <w:tc>
          <w:tcPr>
            <w:tcW w:w="6898" w:type="dxa"/>
            <w:shd w:val="clear" w:color="000000" w:fill="BFBFBF"/>
            <w:vAlign w:val="center"/>
            <w:hideMark/>
          </w:tcPr>
          <w:p w14:paraId="082538FC" w14:textId="7777777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Specifická podmínka programu</w:t>
            </w:r>
          </w:p>
        </w:tc>
        <w:tc>
          <w:tcPr>
            <w:tcW w:w="4971" w:type="dxa"/>
            <w:shd w:val="clear" w:color="000000" w:fill="BFBFBF"/>
            <w:vAlign w:val="center"/>
            <w:hideMark/>
          </w:tcPr>
          <w:p w14:paraId="1707E14F" w14:textId="32D861A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Stanovisko energetického specialisty tam, kde je to relevantní</w:t>
            </w:r>
            <w:r w:rsidR="003B3F6E">
              <w:rPr>
                <w:rStyle w:val="Znakapoznpodarou"/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245B4B4C" w14:textId="7777777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Splněno (ANO/NE/NERELEVANTNÍ</w:t>
            </w: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*1</w:t>
            </w: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630F96" w:rsidRPr="006361DB" w14:paraId="69B32563" w14:textId="77777777" w:rsidTr="00E02CA8">
        <w:trPr>
          <w:trHeight w:val="426"/>
        </w:trPr>
        <w:tc>
          <w:tcPr>
            <w:tcW w:w="6898" w:type="dxa"/>
            <w:shd w:val="clear" w:color="auto" w:fill="auto"/>
            <w:vAlign w:val="bottom"/>
            <w:hideMark/>
          </w:tcPr>
          <w:p w14:paraId="71BF6831" w14:textId="089A6F57" w:rsidR="006361DB" w:rsidRPr="00C32A99" w:rsidRDefault="003319BB" w:rsidP="00C32A99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Projekt prokázal úsporu energie v konečné spotřebě energie</w:t>
            </w:r>
            <w:r>
              <w:rPr>
                <w:rStyle w:val="Znakapoznpodarou"/>
              </w:rPr>
              <w:footnoteReference w:id="2"/>
            </w:r>
            <w:r>
              <w:t xml:space="preserve"> podle tabulky č.3 Analýza užití energie – bilance přínosu projektů uvedené</w:t>
            </w:r>
            <w:r w:rsidRPr="00F944F5">
              <w:rPr>
                <w:spacing w:val="-11"/>
              </w:rPr>
              <w:t xml:space="preserve"> </w:t>
            </w:r>
            <w:r>
              <w:t>v</w:t>
            </w:r>
            <w:r w:rsidRPr="00F944F5">
              <w:rPr>
                <w:spacing w:val="-10"/>
              </w:rPr>
              <w:t xml:space="preserve"> </w:t>
            </w:r>
            <w:r>
              <w:t>Příloze</w:t>
            </w:r>
            <w:r w:rsidRPr="00F944F5">
              <w:rPr>
                <w:spacing w:val="-8"/>
              </w:rPr>
              <w:t xml:space="preserve"> </w:t>
            </w:r>
            <w:r>
              <w:t>č.</w:t>
            </w:r>
            <w:r w:rsidRPr="00F944F5">
              <w:rPr>
                <w:spacing w:val="-11"/>
              </w:rPr>
              <w:t xml:space="preserve"> </w:t>
            </w:r>
            <w:r>
              <w:t>3</w:t>
            </w:r>
            <w:r w:rsidRPr="00F944F5">
              <w:rPr>
                <w:spacing w:val="-10"/>
              </w:rPr>
              <w:t xml:space="preserve"> </w:t>
            </w:r>
            <w:r>
              <w:t>k</w:t>
            </w:r>
            <w:r w:rsidRPr="00F944F5">
              <w:rPr>
                <w:spacing w:val="-11"/>
              </w:rPr>
              <w:t xml:space="preserve"> </w:t>
            </w:r>
            <w:r>
              <w:t>vyhlášce</w:t>
            </w:r>
            <w:r w:rsidRPr="00F944F5">
              <w:rPr>
                <w:spacing w:val="-8"/>
              </w:rPr>
              <w:t xml:space="preserve"> </w:t>
            </w:r>
            <w:r>
              <w:t>č.</w:t>
            </w:r>
            <w:r w:rsidRPr="00F944F5">
              <w:rPr>
                <w:spacing w:val="-11"/>
              </w:rPr>
              <w:t xml:space="preserve"> </w:t>
            </w:r>
            <w:r>
              <w:t>141/2021 Sb., o energetickém posudku a o údajích vedených v Systému monitoringu spotřeby energie</w:t>
            </w:r>
            <w:r>
              <w:rPr>
                <w:rStyle w:val="Znakapoznpodarou"/>
              </w:rPr>
              <w:footnoteReference w:id="3"/>
            </w:r>
            <w:r>
              <w:t>, ve znění pozdějších předpisů.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570D02A1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ACACF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1340FEC8" w14:textId="77777777" w:rsidTr="00E02CA8">
        <w:trPr>
          <w:trHeight w:val="1396"/>
        </w:trPr>
        <w:tc>
          <w:tcPr>
            <w:tcW w:w="6898" w:type="dxa"/>
            <w:shd w:val="clear" w:color="auto" w:fill="auto"/>
            <w:vAlign w:val="bottom"/>
            <w:hideMark/>
          </w:tcPr>
          <w:p w14:paraId="18AE3E07" w14:textId="343105AA" w:rsidR="006361DB" w:rsidRPr="00C32A99" w:rsidRDefault="003319BB" w:rsidP="00650759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1C6C">
              <w:t>Byla splněna podmínka minimální úspory primární energie</w:t>
            </w:r>
            <w:r>
              <w:rPr>
                <w:rStyle w:val="Znakapoznpodarou"/>
              </w:rPr>
              <w:footnoteReference w:id="4"/>
            </w:r>
            <w:r>
              <w:t xml:space="preserve"> </w:t>
            </w:r>
            <w:r w:rsidRPr="00931C6C">
              <w:t xml:space="preserve">ve výši 20 % </w:t>
            </w:r>
            <w:r w:rsidR="00861087" w:rsidRPr="00861087">
              <w:t xml:space="preserve">podle bodu 6 článku </w:t>
            </w:r>
            <w:proofErr w:type="gramStart"/>
            <w:r w:rsidR="00861087" w:rsidRPr="00861087">
              <w:t>38a</w:t>
            </w:r>
            <w:proofErr w:type="gramEnd"/>
            <w:r w:rsidR="00861087" w:rsidRPr="00861087">
              <w:t xml:space="preserve"> GBER </w:t>
            </w:r>
            <w:r w:rsidRPr="00931C6C">
              <w:t>bez možnosti započítání přínosů z opatření podle bodu 7 článku 38a GBER</w:t>
            </w:r>
            <w:r>
              <w:t xml:space="preserve"> a zároveň byla splněna podmínka </w:t>
            </w:r>
            <w:r w:rsidRPr="00931C6C">
              <w:t>minimální úspor</w:t>
            </w:r>
            <w:r>
              <w:t>y</w:t>
            </w:r>
            <w:r w:rsidRPr="00931C6C">
              <w:t xml:space="preserve"> primární energie</w:t>
            </w:r>
            <w:r>
              <w:t xml:space="preserve"> ve</w:t>
            </w:r>
            <w:r w:rsidRPr="00931C6C">
              <w:t xml:space="preserve"> výši 30 % s možností započítání přínosů z opatření podle bodu 7 článku 38a GBER a zároveň </w:t>
            </w:r>
            <w:r>
              <w:t xml:space="preserve">byly splněny </w:t>
            </w:r>
            <w:r w:rsidRPr="00931C6C">
              <w:t xml:space="preserve">požadavky na renovaci budovy podle varianty A1 viz </w:t>
            </w:r>
            <w:r>
              <w:t>tabulka</w:t>
            </w:r>
            <w:r w:rsidRPr="00931C6C">
              <w:t xml:space="preserve"> č.1</w:t>
            </w:r>
            <w:r w:rsidR="00BF0D85">
              <w:rPr>
                <w:rFonts w:ascii="Calibri" w:eastAsia="Times New Roman" w:hAnsi="Calibri" w:cs="Calibri"/>
                <w:color w:val="000000"/>
                <w:lang w:eastAsia="cs-CZ"/>
              </w:rPr>
              <w:t>příloha č. 1 Výzvy Model hodnocení.</w:t>
            </w:r>
            <w:r w:rsidR="00A131A3">
              <w:t xml:space="preserve"> </w:t>
            </w:r>
            <w:r w:rsidR="00A131A3" w:rsidRPr="00A131A3">
              <w:t xml:space="preserve">Výše uvedené </w:t>
            </w:r>
            <w:proofErr w:type="gramStart"/>
            <w:r w:rsidR="00A131A3" w:rsidRPr="00A131A3">
              <w:t>požadavky  na</w:t>
            </w:r>
            <w:proofErr w:type="gramEnd"/>
            <w:r w:rsidR="00A131A3" w:rsidRPr="00A131A3">
              <w:t xml:space="preserve"> energetickou náročnost musí splňovat každá budova zahrnutá do žádosti o podporu.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F8E5E11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BB5FA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3D01" w:rsidRPr="006361DB" w14:paraId="2A4DD7D7" w14:textId="77777777" w:rsidTr="00941007">
        <w:trPr>
          <w:trHeight w:val="1076"/>
        </w:trPr>
        <w:tc>
          <w:tcPr>
            <w:tcW w:w="6898" w:type="dxa"/>
            <w:shd w:val="clear" w:color="auto" w:fill="auto"/>
            <w:vAlign w:val="bottom"/>
          </w:tcPr>
          <w:p w14:paraId="293F1734" w14:textId="443E427D" w:rsidR="006A3D01" w:rsidRPr="00C32A99" w:rsidRDefault="003319BB" w:rsidP="00941007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FE0">
              <w:lastRenderedPageBreak/>
              <w:t>Byla splněna podmínka minimální úspory primární energie</w:t>
            </w:r>
            <w:r w:rsidR="00D64F64" w:rsidRPr="00941007">
              <w:rPr>
                <w:vertAlign w:val="superscript"/>
              </w:rPr>
              <w:t>4</w:t>
            </w:r>
            <w:r w:rsidRPr="00CD7FE0">
              <w:t xml:space="preserve"> ve výši 40 % </w:t>
            </w:r>
            <w:r w:rsidR="00A131A3" w:rsidRPr="00A131A3">
              <w:t xml:space="preserve">podle bodu 6 článku </w:t>
            </w:r>
            <w:proofErr w:type="gramStart"/>
            <w:r w:rsidR="00A131A3" w:rsidRPr="00A131A3">
              <w:t>38a</w:t>
            </w:r>
            <w:proofErr w:type="gramEnd"/>
            <w:r w:rsidR="00A131A3" w:rsidRPr="00A131A3">
              <w:t xml:space="preserve"> GBER</w:t>
            </w:r>
            <w:r w:rsidR="00A131A3">
              <w:t xml:space="preserve">, </w:t>
            </w:r>
            <w:r w:rsidRPr="00780223">
              <w:t>bez možnosti započítání přínosů z opatření podle bodu 7 článku 38a GBER</w:t>
            </w:r>
            <w:r>
              <w:t xml:space="preserve"> </w:t>
            </w:r>
            <w:r w:rsidRPr="00780223">
              <w:t xml:space="preserve">a zároveň </w:t>
            </w:r>
            <w:r>
              <w:t xml:space="preserve">byly splněny </w:t>
            </w:r>
            <w:r w:rsidRPr="00780223">
              <w:t>požadavky na renovaci budovy podle varianty A</w:t>
            </w:r>
            <w:r>
              <w:t>2</w:t>
            </w:r>
            <w:r w:rsidRPr="00780223">
              <w:t xml:space="preserve"> viz </w:t>
            </w:r>
            <w:r>
              <w:t>tabulka</w:t>
            </w:r>
            <w:r w:rsidRPr="00780223">
              <w:t xml:space="preserve"> č.1</w:t>
            </w:r>
            <w:r w:rsidR="00BF0D85">
              <w:t xml:space="preserve"> </w:t>
            </w:r>
            <w:r w:rsidR="00BF0D85">
              <w:rPr>
                <w:rFonts w:ascii="Calibri" w:eastAsia="Times New Roman" w:hAnsi="Calibri" w:cs="Calibri"/>
                <w:color w:val="000000"/>
                <w:lang w:eastAsia="cs-CZ"/>
              </w:rPr>
              <w:t>příloha č. 1 Výzvy Model hodnocen</w:t>
            </w:r>
            <w:r>
              <w:t>.</w:t>
            </w:r>
            <w:r w:rsidR="00BF0D85">
              <w:t xml:space="preserve"> </w:t>
            </w:r>
            <w:r w:rsidR="00BF0D85" w:rsidRPr="00BF0D85">
              <w:t>Výše uvedené požadavky na energetickou náročnost musí splňovat každá budova zahrnutá do žádosti o podporu.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7469E01B" w14:textId="77777777" w:rsidR="006A3D01" w:rsidRPr="006361DB" w:rsidRDefault="006A3D01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C7712F" w14:textId="77777777" w:rsidR="006A3D01" w:rsidRPr="006361DB" w:rsidRDefault="006A3D01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61DAB7AF" w14:textId="77777777" w:rsidTr="00E02CA8">
        <w:trPr>
          <w:trHeight w:val="1132"/>
        </w:trPr>
        <w:tc>
          <w:tcPr>
            <w:tcW w:w="6898" w:type="dxa"/>
            <w:shd w:val="clear" w:color="auto" w:fill="auto"/>
            <w:vAlign w:val="bottom"/>
            <w:hideMark/>
          </w:tcPr>
          <w:p w14:paraId="3F7AF2A8" w14:textId="4F383C23" w:rsidR="006361DB" w:rsidRPr="00C32A99" w:rsidRDefault="003319BB" w:rsidP="00C32A99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1C6C">
              <w:t>Byla splněna podmínka minimální úspory primární energie</w:t>
            </w:r>
            <w:r>
              <w:rPr>
                <w:rStyle w:val="Znakapoznpodarou"/>
              </w:rPr>
              <w:footnoteReference w:id="5"/>
            </w:r>
            <w:r>
              <w:t xml:space="preserve"> minimálně ve výši 30 </w:t>
            </w:r>
            <w:r w:rsidRPr="00931C6C">
              <w:t>% nebo v průměru alespoň 30% snížení přímých a nepřímých emisí skleníkových plynů v porovnání s předchozími emisemi v případě opatření mimo renovace stávající budovy.</w:t>
            </w:r>
            <w:r w:rsidR="00703A10">
              <w:t xml:space="preserve"> </w:t>
            </w:r>
            <w:r w:rsidR="00703A10" w:rsidRPr="00703A10">
              <w:t xml:space="preserve">Výše uvedené požadavky na energetickou náročnost </w:t>
            </w:r>
            <w:r w:rsidR="009D412A" w:rsidRPr="009D412A">
              <w:t>nebo snížení emisí skleníkových plynů</w:t>
            </w:r>
            <w:r w:rsidR="009D412A">
              <w:t xml:space="preserve"> </w:t>
            </w:r>
            <w:r w:rsidR="00703A10" w:rsidRPr="00703A10">
              <w:t xml:space="preserve">musí splňovat každé opatření zahrnuté do žádosti o podporu. 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ABBF31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AA8C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102C42A9" w14:textId="77777777" w:rsidTr="00941007">
        <w:trPr>
          <w:trHeight w:val="1141"/>
        </w:trPr>
        <w:tc>
          <w:tcPr>
            <w:tcW w:w="6898" w:type="dxa"/>
            <w:shd w:val="clear" w:color="auto" w:fill="auto"/>
            <w:vAlign w:val="bottom"/>
            <w:hideMark/>
          </w:tcPr>
          <w:p w14:paraId="1EC58E0A" w14:textId="718D816B" w:rsidR="006361DB" w:rsidRPr="00C32A99" w:rsidRDefault="006361DB" w:rsidP="00811C92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Pokud jsou absolutní</w:t>
            </w:r>
            <w:r w:rsidR="00123132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6"/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anebo relativní</w:t>
            </w:r>
            <w:r w:rsidR="00123132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7"/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emise vyšší než 20 000 tun CO</w:t>
            </w:r>
            <w:r w:rsidRPr="00C32A99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proofErr w:type="spellStart"/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ekv</w:t>
            </w:r>
            <w:proofErr w:type="spellEnd"/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./rok, tak je nutné stanovit uhlíkovou stopu podle sdělení Evropské komise 2021/C373/01 (Technické pokyny k provádění infrastruktury z hlediska klimatického dopadu v období 2021-2027).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BE6EAD4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B8EA7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751A1E5C" w14:textId="77777777" w:rsidTr="0031646B">
        <w:trPr>
          <w:trHeight w:val="636"/>
        </w:trPr>
        <w:tc>
          <w:tcPr>
            <w:tcW w:w="6898" w:type="dxa"/>
            <w:shd w:val="clear" w:color="auto" w:fill="auto"/>
            <w:noWrap/>
            <w:vAlign w:val="center"/>
            <w:hideMark/>
          </w:tcPr>
          <w:p w14:paraId="7722A92A" w14:textId="0AD3C50A" w:rsidR="006361DB" w:rsidRPr="00C32A99" w:rsidRDefault="000315CE" w:rsidP="00C32A99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15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Podle § 25 odst. 5 zákona č. 165/2012 Sb., o podporovaných zdrojích energie a o změně některých zákonů ve znění pozdějších předpisů se investiční podpora tepla nevztahuje na solární systémy nebo systémy s tepelnými čerpadly, </w:t>
            </w:r>
            <w:proofErr w:type="gramStart"/>
            <w:r w:rsidRPr="000315CE">
              <w:rPr>
                <w:rFonts w:ascii="Calibri" w:eastAsia="Times New Roman" w:hAnsi="Calibri" w:cs="Calibri"/>
                <w:color w:val="000000"/>
                <w:lang w:eastAsia="cs-CZ"/>
              </w:rPr>
              <w:t>které</w:t>
            </w:r>
            <w:proofErr w:type="gramEnd"/>
            <w:r w:rsidRPr="000315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by svým provozem zhoršily celkovou průměrnou roční účinnost stávajících účinných soustav zásobování tepelnou energií. Tyto soustavy zásobování tepelnou energií eviduje a způsobem umožňujícím dálkový přístup zveřejňuje Energetický regulační úřad do 30. dubna následujícího roku. V případě částečné náhrady dodávek energií ze SZTE, je možno projekt podpořit pouze se souhlasem vlastníka či provozovatele SZTE.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7C0B3E9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2AAAB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06B957AD" w14:textId="77777777" w:rsidTr="00E02CA8">
        <w:trPr>
          <w:trHeight w:val="1212"/>
        </w:trPr>
        <w:tc>
          <w:tcPr>
            <w:tcW w:w="6898" w:type="dxa"/>
            <w:shd w:val="clear" w:color="auto" w:fill="auto"/>
            <w:vAlign w:val="center"/>
            <w:hideMark/>
          </w:tcPr>
          <w:p w14:paraId="060BB120" w14:textId="2F66B55F" w:rsidR="006361DB" w:rsidRPr="00C32A99" w:rsidRDefault="006361DB" w:rsidP="00C32A99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V případě, že výrobna elektřiny z</w:t>
            </w:r>
            <w:r w:rsidR="00C605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KVET</w:t>
            </w:r>
            <w:r w:rsidR="00C605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FVE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připojena do přenosové nebo distribuční soustavy nesmí dodat do přenosové nebo distribuční soustavy více než </w:t>
            </w:r>
            <w:r w:rsidR="004D08F5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20 %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ročního množství elektřiny vyrobené v jím provozované výrobně elektřiny, sníženého o technologickou vlastní spotřebu elektřiny.</w:t>
            </w:r>
            <w:r w:rsidR="00C605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F0530">
              <w:rPr>
                <w:rFonts w:ascii="Calibri" w:eastAsia="Times New Roman" w:hAnsi="Calibri" w:cs="Calibri"/>
                <w:color w:val="000000"/>
                <w:lang w:eastAsia="cs-CZ"/>
              </w:rPr>
              <w:t>Do výpočtu úspory primární energie nebudou započítána energie dodaná mimo energetické hospodářství žadatele.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996DC4A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DB72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01D6F" w:rsidRPr="006361DB" w14:paraId="7BCAFCCE" w14:textId="77777777" w:rsidTr="0031646B">
        <w:trPr>
          <w:trHeight w:val="1366"/>
        </w:trPr>
        <w:tc>
          <w:tcPr>
            <w:tcW w:w="6898" w:type="dxa"/>
            <w:shd w:val="clear" w:color="auto" w:fill="auto"/>
            <w:vAlign w:val="center"/>
          </w:tcPr>
          <w:p w14:paraId="4A26CC7D" w14:textId="25DAD5F3" w:rsidR="00D01D6F" w:rsidRPr="00C32A99" w:rsidRDefault="00D01D6F" w:rsidP="00333B41">
            <w:pPr>
              <w:pStyle w:val="Odstavecseseznamem"/>
              <w:numPr>
                <w:ilvl w:val="0"/>
                <w:numId w:val="40"/>
              </w:num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D01D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projektu zahrnující instalaci fotovoltaických systémů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nesmí </w:t>
            </w:r>
            <w:r w:rsidRPr="00D01D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výše úspory energie z těchto opatření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překročit</w:t>
            </w:r>
            <w:r w:rsidRPr="00D01D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hranici 30 %. Jedná se o velikost podílu u indikátoru "323000 - Snížení konečné spotřeby energie u podpořených subjektů".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4D7FA88F" w14:textId="77777777" w:rsidR="00D01D6F" w:rsidRPr="006361DB" w:rsidRDefault="00D01D6F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7244ED" w14:textId="77777777" w:rsidR="00D01D6F" w:rsidRPr="006361DB" w:rsidRDefault="00D01D6F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1D6F" w:rsidRPr="006361DB" w14:paraId="0F7A0DEF" w14:textId="77777777" w:rsidTr="0031646B">
        <w:trPr>
          <w:trHeight w:val="1005"/>
        </w:trPr>
        <w:tc>
          <w:tcPr>
            <w:tcW w:w="6898" w:type="dxa"/>
            <w:shd w:val="clear" w:color="auto" w:fill="auto"/>
            <w:vAlign w:val="center"/>
          </w:tcPr>
          <w:p w14:paraId="45C0E387" w14:textId="1FE49A96" w:rsidR="00D01D6F" w:rsidRDefault="00D01D6F" w:rsidP="00333B41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4537">
              <w:rPr>
                <w:color w:val="auto"/>
              </w:rPr>
              <w:t xml:space="preserve">Zařízení pro ukládání </w:t>
            </w:r>
            <w:r>
              <w:rPr>
                <w:color w:val="auto"/>
              </w:rPr>
              <w:t xml:space="preserve">energie </w:t>
            </w:r>
            <w:r w:rsidRPr="00B04537">
              <w:rPr>
                <w:color w:val="auto"/>
              </w:rPr>
              <w:t>musí ročně přijmout alespoň 75 % své energie z přímo připojeného zařízení na výrobu energie z obnovitelných zdrojů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13E58E35" w14:textId="77777777" w:rsidR="00D01D6F" w:rsidRPr="006361DB" w:rsidRDefault="00D01D6F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8D4AC3" w14:textId="77777777" w:rsidR="00D01D6F" w:rsidRPr="006361DB" w:rsidRDefault="00D01D6F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2906" w:rsidRPr="006361DB" w14:paraId="5D1BFEC9" w14:textId="77777777" w:rsidTr="00E02CA8">
        <w:trPr>
          <w:trHeight w:val="312"/>
        </w:trPr>
        <w:tc>
          <w:tcPr>
            <w:tcW w:w="6898" w:type="dxa"/>
            <w:shd w:val="clear" w:color="auto" w:fill="auto"/>
            <w:vAlign w:val="bottom"/>
          </w:tcPr>
          <w:p w14:paraId="18D6633E" w14:textId="0F7A695F" w:rsidR="009F2906" w:rsidRDefault="001C762F" w:rsidP="00333B4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11C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případě elektrických tepelných čerpadel jsou splněny požadavky </w:t>
            </w:r>
            <w:r w:rsidR="001C78C8" w:rsidRPr="00811C92">
              <w:rPr>
                <w:rFonts w:ascii="Calibri" w:eastAsia="Times New Roman" w:hAnsi="Calibri" w:cs="Calibri"/>
                <w:color w:val="000000"/>
                <w:lang w:eastAsia="cs-CZ"/>
              </w:rPr>
              <w:t>pro obnovitelnou energii u vytápění a chlazení v souladu se směrnicí (EU) 2018/2001, a pomocných technických zařízení</w:t>
            </w:r>
            <w:r w:rsidR="00E66832" w:rsidRPr="00811C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Minimální </w:t>
            </w:r>
            <w:r w:rsidR="00AC79CE" w:rsidRPr="00811C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sezonní topný </w:t>
            </w:r>
            <w:r w:rsidR="00E66832" w:rsidRPr="00811C92">
              <w:rPr>
                <w:rFonts w:ascii="Calibri" w:eastAsia="Times New Roman" w:hAnsi="Calibri" w:cs="Calibri"/>
                <w:color w:val="000000"/>
                <w:lang w:eastAsia="cs-CZ"/>
              </w:rPr>
              <w:t>faktor je požadován ve výši 2,</w:t>
            </w:r>
            <w:r w:rsidR="00D7311E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182050" w:rsidRPr="00811C9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971" w:type="dxa"/>
            <w:shd w:val="clear" w:color="auto" w:fill="auto"/>
            <w:vAlign w:val="bottom"/>
          </w:tcPr>
          <w:p w14:paraId="73A9FF56" w14:textId="77777777" w:rsidR="009F2906" w:rsidRPr="006361DB" w:rsidRDefault="009F2906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BB580D3" w14:textId="77777777" w:rsidR="009F2906" w:rsidRPr="006361DB" w:rsidRDefault="009F2906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2DB2BE42" w14:textId="77777777" w:rsidTr="00E02CA8">
        <w:trPr>
          <w:trHeight w:val="1130"/>
        </w:trPr>
        <w:tc>
          <w:tcPr>
            <w:tcW w:w="6898" w:type="dxa"/>
            <w:shd w:val="clear" w:color="auto" w:fill="auto"/>
            <w:vAlign w:val="bottom"/>
            <w:hideMark/>
          </w:tcPr>
          <w:p w14:paraId="600E236F" w14:textId="66291489" w:rsidR="006361DB" w:rsidRPr="00C32A99" w:rsidRDefault="006361DB" w:rsidP="00333B4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Podpořeny budou pouze projekty, které splňují požadavky vyhlášky č. 452/2017 Sb.</w:t>
            </w:r>
            <w:r w:rsidR="00F852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 znění pozdějších předpisů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, kterou se mění vyhláška č. 415/2012 Sb., o přípustné úrovni znečišťování a jejím zjišťování a o provedení některých dalších ustanovení o ochraně ovzduší.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9724D9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85647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6B6A" w:rsidRPr="006361DB" w14:paraId="2FD04376" w14:textId="77777777" w:rsidTr="00E02CA8">
        <w:trPr>
          <w:trHeight w:val="1130"/>
        </w:trPr>
        <w:tc>
          <w:tcPr>
            <w:tcW w:w="6898" w:type="dxa"/>
            <w:shd w:val="clear" w:color="auto" w:fill="auto"/>
            <w:vAlign w:val="bottom"/>
          </w:tcPr>
          <w:p w14:paraId="404D4BB5" w14:textId="64B1552C" w:rsidR="00B16B6A" w:rsidRPr="00C32A99" w:rsidRDefault="00B16B6A" w:rsidP="00333B41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941007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Emise jsou nejvýše na úrovni emisí spojené s rozsahem hodnot nejlepších dostupných technik (BAT-AEL) stanovený</w:t>
            </w:r>
            <w:r w:rsidR="00AB2FC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ch</w:t>
            </w:r>
            <w:r w:rsidRPr="00941007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941007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  relevantních</w:t>
            </w:r>
            <w:proofErr w:type="gramEnd"/>
            <w:r w:rsidRPr="00941007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závěrech o nejlepších dostupných technikách (BAT), včetně závěrů o nejlepších dostupných technikách (BAT) pro předmětné odvětví.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705E2CD4" w14:textId="77777777" w:rsidR="00B16B6A" w:rsidRPr="006361DB" w:rsidRDefault="00B16B6A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EAA531" w14:textId="77777777" w:rsidR="00B16B6A" w:rsidRPr="006361DB" w:rsidRDefault="00B16B6A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270FA241" w14:textId="77777777" w:rsidTr="00E02CA8">
        <w:trPr>
          <w:trHeight w:val="1130"/>
        </w:trPr>
        <w:tc>
          <w:tcPr>
            <w:tcW w:w="6898" w:type="dxa"/>
            <w:shd w:val="clear" w:color="auto" w:fill="auto"/>
            <w:vAlign w:val="bottom"/>
          </w:tcPr>
          <w:p w14:paraId="6F0B4788" w14:textId="3821AC52" w:rsidR="00552BC1" w:rsidRPr="00C32A99" w:rsidRDefault="00CA7830" w:rsidP="00333B41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33FB">
              <w:rPr>
                <w:rFonts w:ascii="Calibri" w:eastAsia="Times New Roman" w:hAnsi="Calibri" w:cs="Calibri"/>
                <w:color w:val="000000"/>
                <w:lang w:eastAsia="cs-CZ"/>
              </w:rPr>
              <w:t>Pokud nelze</w:t>
            </w:r>
            <w:r w:rsidR="00AB2FCC" w:rsidRPr="00AF33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F33FB">
              <w:rPr>
                <w:rFonts w:ascii="Calibri" w:eastAsia="Times New Roman" w:hAnsi="Calibri" w:cs="Calibri"/>
                <w:color w:val="000000"/>
                <w:lang w:eastAsia="cs-CZ"/>
              </w:rPr>
              <w:t>při stanovení výchozího stavu spotřeby energie předmětu energetického posudku postupovat dle Přílohy č.3 kapitoly 3 odstavce (1) písmena a), tedy na základě historie spotřeby energie stanovené pro ucelené období alespoň jednoho roku, postupuje se v souladu s vyhláškou</w:t>
            </w:r>
            <w:r w:rsidR="00E154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E15473" w:rsidRPr="00E15473">
              <w:rPr>
                <w:rFonts w:ascii="Calibri" w:eastAsia="Times New Roman" w:hAnsi="Calibri" w:cs="Calibri"/>
                <w:color w:val="000000"/>
                <w:lang w:eastAsia="cs-CZ"/>
              </w:rPr>
              <w:t>č. 141/2021 Sb.</w:t>
            </w:r>
            <w:r w:rsidR="00E154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E15473" w:rsidRPr="00E154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platném </w:t>
            </w:r>
            <w:proofErr w:type="gramStart"/>
            <w:r w:rsidR="00E15473" w:rsidRPr="00E15473">
              <w:rPr>
                <w:rFonts w:ascii="Calibri" w:eastAsia="Times New Roman" w:hAnsi="Calibri" w:cs="Calibri"/>
                <w:color w:val="000000"/>
                <w:lang w:eastAsia="cs-CZ"/>
              </w:rPr>
              <w:t>znění</w:t>
            </w:r>
            <w:r w:rsidR="00E154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F33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stanovením</w:t>
            </w:r>
            <w:proofErr w:type="gramEnd"/>
            <w:r w:rsidRPr="00AF33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referenčního stavu. Referenčním stavem je spotřeba energie budovy stanovená na základě průkazu energetické náročnosti budovy pro stav po realizaci navržených úspor odpovídající 1,2</w:t>
            </w:r>
            <w:r w:rsidR="00D31B47" w:rsidRPr="00AF33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F33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 </w:t>
            </w:r>
            <w:proofErr w:type="gramStart"/>
            <w:r w:rsidRPr="00AF33FB">
              <w:rPr>
                <w:rFonts w:ascii="Calibri" w:eastAsia="Times New Roman" w:hAnsi="Calibri" w:cs="Calibri"/>
                <w:color w:val="000000"/>
                <w:lang w:eastAsia="cs-CZ"/>
              </w:rPr>
              <w:t>ER - násobku</w:t>
            </w:r>
            <w:proofErr w:type="gramEnd"/>
            <w:r w:rsidRPr="00AF33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spotřeby energie referenční budovy (pro všechny energetické ukazatele). Typický profil užívání je stanoven podrobně na základě skutečných projektových parametrů (nepřipouští se využití typického profilu užívání dle ČSN 730331-1).</w:t>
            </w:r>
            <w:r w:rsidR="00453D85" w:rsidRPr="00AF33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E3E8A">
              <w:t xml:space="preserve">Pro stanovení výchozího stavu se uvažuje pro vytápění a přípravu teplé vody faktor </w:t>
            </w:r>
            <w:r w:rsidR="002E3E8A" w:rsidRPr="003F24D8">
              <w:t>primární energie</w:t>
            </w:r>
            <w:r w:rsidR="002E3E8A">
              <w:t xml:space="preserve"> </w:t>
            </w:r>
            <w:r w:rsidR="00F852AB">
              <w:t>zemního plynu</w:t>
            </w:r>
            <w:r w:rsidR="00D41CE4">
              <w:t xml:space="preserve"> </w:t>
            </w:r>
            <w:r w:rsidR="008953A0">
              <w:t>a</w:t>
            </w:r>
            <w:r w:rsidR="002E47FE">
              <w:t xml:space="preserve"> </w:t>
            </w:r>
            <w:r w:rsidR="002E3E8A">
              <w:t xml:space="preserve">pro ostatní </w:t>
            </w:r>
            <w:r w:rsidR="00F852AB">
              <w:t xml:space="preserve">technické systémy </w:t>
            </w:r>
            <w:r w:rsidR="00CC5E22">
              <w:t>faktor primární energie pro elektřinu</w:t>
            </w:r>
            <w:r w:rsidR="00381A13">
              <w:t>.</w:t>
            </w:r>
            <w:r w:rsidR="002E3E8A">
              <w:t xml:space="preserve"> </w:t>
            </w:r>
            <w:r w:rsidR="00140C46">
              <w:t xml:space="preserve"> Referenční stav na základě 1,2 </w:t>
            </w:r>
            <w:r w:rsidR="00AF33FB">
              <w:t xml:space="preserve">x </w:t>
            </w:r>
            <w:r w:rsidR="00140C46">
              <w:t>E</w:t>
            </w:r>
            <w:r w:rsidR="00AF33FB">
              <w:t>R</w:t>
            </w:r>
            <w:r w:rsidR="00140C46">
              <w:t xml:space="preserve"> není možné použít pro </w:t>
            </w:r>
            <w:r w:rsidR="004957B5">
              <w:t xml:space="preserve">budovy, které jsou </w:t>
            </w:r>
            <w:r w:rsidR="004957B5">
              <w:lastRenderedPageBreak/>
              <w:t xml:space="preserve">v době podání žádosti o podporu </w:t>
            </w:r>
            <w:r w:rsidR="00140C46">
              <w:t xml:space="preserve">rozestavěné a/nebo </w:t>
            </w:r>
            <w:proofErr w:type="spellStart"/>
            <w:r w:rsidR="00140C46">
              <w:t>nezkoulaudované</w:t>
            </w:r>
            <w:proofErr w:type="spellEnd"/>
            <w:r w:rsidR="00140C46">
              <w:t>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1EC4317B" w14:textId="2333F7F3" w:rsidR="00552BC1" w:rsidRPr="006361DB" w:rsidRDefault="00552BC1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AB05EF" w14:textId="77777777" w:rsidR="00552BC1" w:rsidRPr="006361DB" w:rsidRDefault="00552BC1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27C8E03C" w14:textId="26588FC0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7DB5C7B4" w14:textId="5E8FDD15" w:rsidR="002B4B05" w:rsidRPr="00C32A99" w:rsidRDefault="00FF2B8C" w:rsidP="00333B4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v případě realizace opatření ke snižování energetické náročnosti budov</w:t>
            </w:r>
            <w:r w:rsidR="00AC79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musí být provedeno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A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hydraulické vyvážení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otopné soustavy.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41BB4079" w14:textId="50214805" w:rsidR="002B4B05" w:rsidRPr="006361DB" w:rsidRDefault="002B4B05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A53401" w14:textId="27D4B60B" w:rsidR="002B4B05" w:rsidRPr="006361DB" w:rsidRDefault="002B4B05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D01" w:rsidRPr="006361DB" w14:paraId="5DA5FBFC" w14:textId="77777777" w:rsidTr="00381A13">
        <w:trPr>
          <w:trHeight w:val="449"/>
        </w:trPr>
        <w:tc>
          <w:tcPr>
            <w:tcW w:w="6898" w:type="dxa"/>
            <w:shd w:val="clear" w:color="auto" w:fill="auto"/>
            <w:vAlign w:val="bottom"/>
          </w:tcPr>
          <w:p w14:paraId="754B59D4" w14:textId="78ED0C90" w:rsidR="006A3D01" w:rsidRPr="00381A13" w:rsidRDefault="00381A13" w:rsidP="00333B41">
            <w:pPr>
              <w:pStyle w:val="Odstavecseseznamem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 Investice nesouvisí s výrobou, zpracováním, přepravou, distribucí, skladováním nebo spalováním fosilních paliv.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66C22049" w14:textId="77777777" w:rsidR="006A3D01" w:rsidRPr="006361DB" w:rsidRDefault="006A3D01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5D7D8A" w14:textId="77777777" w:rsidR="006A3D01" w:rsidRPr="006361DB" w:rsidRDefault="006A3D01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63CABBD6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34D1AB33" w14:textId="6D40C803" w:rsidR="00FF2B8C" w:rsidRPr="00C32A99" w:rsidRDefault="00FF2B8C" w:rsidP="00333B4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V rámci programu Úspory energie nelze podporovat spotřebiče pro neprofesionální použití (zařízení pro domácnost) podle nařízení Evropského parlamentu a Rady 2017/1369 ze dne 4. července 2017, kterým se stanoví rámec pro označování energetickými štítky a zrušuje směrnice 2010/30/EU.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6AA1A41C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21A52E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0DE8B5BC" w14:textId="77777777" w:rsidTr="00381A13">
        <w:trPr>
          <w:trHeight w:val="1341"/>
        </w:trPr>
        <w:tc>
          <w:tcPr>
            <w:tcW w:w="6898" w:type="dxa"/>
            <w:shd w:val="clear" w:color="auto" w:fill="auto"/>
            <w:vAlign w:val="bottom"/>
          </w:tcPr>
          <w:p w14:paraId="549C3432" w14:textId="28B052C7" w:rsidR="00FF2B8C" w:rsidRPr="00381A13" w:rsidRDefault="00C25440" w:rsidP="00333B4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Hlk157150504"/>
            <w:r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>Pokud se na použit</w:t>
            </w:r>
            <w:r w:rsidR="00D52309"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>é</w:t>
            </w:r>
            <w:r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D52309"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>výrobky</w:t>
            </w:r>
            <w:r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vztahují požadavky </w:t>
            </w:r>
            <w:proofErr w:type="gramStart"/>
            <w:r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>na  označování</w:t>
            </w:r>
            <w:proofErr w:type="gramEnd"/>
            <w:r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energetickými štítky</w:t>
            </w:r>
            <w:r w:rsidR="005B0136"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stanovené v nařízení (EU) 2017/1369 a požadavky prováděcích předpisů podle směrnice 2009/125/ES</w:t>
            </w:r>
            <w:r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 w:rsidR="005B0136"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tak </w:t>
            </w:r>
            <w:r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>v příslušných případech splňují požadavky na  tříd</w:t>
            </w:r>
            <w:r w:rsidR="005B0136"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  <w:r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energetického štítku</w:t>
            </w:r>
            <w:r w:rsidR="005B0136"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podle přílohy</w:t>
            </w:r>
            <w:r w:rsidR="00D52309"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</w:t>
            </w:r>
            <w:r w:rsidR="005B0136" w:rsidRPr="00D523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134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134A2" w:rsidRPr="007134A2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  <w:r w:rsidR="007134A2" w:rsidRPr="007134A2">
              <w:rPr>
                <w:rFonts w:ascii="Calibri" w:eastAsia="Times New Roman" w:hAnsi="Calibri" w:cs="Calibri"/>
                <w:color w:val="000000"/>
                <w:lang w:eastAsia="cs-CZ"/>
              </w:rPr>
              <w:tab/>
              <w:t>Způsobilé výrobky, na které se vztahují požadavky na označování energetickými štítky</w:t>
            </w:r>
            <w:r w:rsidR="002E47F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bookmarkEnd w:id="0"/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078B4D17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19268D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360F3" w:rsidRPr="006361DB" w14:paraId="23C0067C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259483F0" w14:textId="3A87C91B" w:rsidR="009360F3" w:rsidRPr="00D52309" w:rsidRDefault="009360F3" w:rsidP="00333B4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Pokud se na elektromotory a pohony stanovují požadavky na ekodesign a </w:t>
            </w:r>
            <w:r w:rsidRPr="00EE1262">
              <w:t>označování energetickými štítky, v příslušných případech splňují požadavky na nejvyšší třídu energetického štítku stanovené v nařízení (EU) 2017/1369 a požadavky prováděcích předpisů podle směrnice 2009/125/ES a představují nejlepší dostupnou technologii.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4D964D6E" w14:textId="77777777" w:rsidR="009360F3" w:rsidRPr="006361DB" w:rsidRDefault="009360F3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54B22" w14:textId="77777777" w:rsidR="009360F3" w:rsidRPr="006361DB" w:rsidRDefault="009360F3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6009FF84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34993535" w14:textId="75669E51" w:rsidR="00FF2B8C" w:rsidRPr="00C32A99" w:rsidRDefault="00FF2B8C" w:rsidP="00333B4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V případě aktivity snižování energetické náročnosti/zvyšování energetické účinnosti výrobních a technologických procesů musí při pořízení energeticky úspornějších výrobních strojů a technologických zařízení respektovány níže uvedené podmínky:</w:t>
            </w:r>
          </w:p>
          <w:p w14:paraId="0C16097B" w14:textId="7474B536" w:rsidR="003A5013" w:rsidRDefault="003A5013" w:rsidP="003A5013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roční </w:t>
            </w:r>
            <w:r w:rsidR="00D721AA">
              <w:rPr>
                <w:rFonts w:ascii="Calibri" w:eastAsia="Times New Roman" w:hAnsi="Calibri" w:cs="Calibri"/>
                <w:color w:val="000000"/>
                <w:lang w:eastAsia="cs-CZ"/>
              </w:rPr>
              <w:t>kapacita</w:t>
            </w: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nového zařízení nesmí překročit roční </w:t>
            </w:r>
            <w:r w:rsidR="00D721AA">
              <w:rPr>
                <w:rFonts w:ascii="Calibri" w:eastAsia="Times New Roman" w:hAnsi="Calibri" w:cs="Calibri"/>
                <w:color w:val="000000"/>
                <w:lang w:eastAsia="cs-CZ"/>
              </w:rPr>
              <w:t>kapacitu</w:t>
            </w: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nahrazovaného zařízení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8"/>
            </w: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>; pokud dojde k překročení roční</w:t>
            </w:r>
            <w:r w:rsidR="008119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kapacity</w:t>
            </w: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tak musí být pro výpočet způsobilých výdajů aplikován článek 38 bod </w:t>
            </w:r>
            <w:proofErr w:type="gramStart"/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>3  Nařízení</w:t>
            </w:r>
            <w:proofErr w:type="gramEnd"/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Komise (EU) č. 651/2014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9"/>
            </w:r>
          </w:p>
          <w:p w14:paraId="73566AF4" w14:textId="322821BA" w:rsidR="003A5013" w:rsidRPr="003A5013" w:rsidRDefault="003A5013" w:rsidP="003A5013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>zařízení musí být nové a současně musí být prokazatelné, že nahrazovaná zařízení již nejsou používána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10"/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555202F5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4855A2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7595817F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620A51CC" w14:textId="0165C8CE" w:rsidR="00FF2B8C" w:rsidRPr="00C32A99" w:rsidRDefault="003A5013" w:rsidP="00333B4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Projekt musí být realizován na území ČR mimo NUTS II Praha.</w:t>
            </w:r>
          </w:p>
          <w:p w14:paraId="11FADA40" w14:textId="73F58258" w:rsidR="003A5013" w:rsidRPr="003A5013" w:rsidRDefault="003A5013" w:rsidP="003A5013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rámci projektu lze uplatnit pouze jedno místo realizace. Místo realizace </w:t>
            </w:r>
            <w:r w:rsidR="00FA11CA">
              <w:rPr>
                <w:rFonts w:ascii="Calibri" w:eastAsia="Times New Roman" w:hAnsi="Calibri" w:cs="Calibri"/>
                <w:color w:val="000000"/>
                <w:lang w:eastAsia="cs-CZ"/>
              </w:rPr>
              <w:t>musí</w:t>
            </w: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být součástí jednoho energetického hospodářství a zároveň se bude jednat o ucelené území podle katastrální mapy. </w:t>
            </w:r>
          </w:p>
          <w:p w14:paraId="5F938F3B" w14:textId="485BC4B1" w:rsidR="003A5013" w:rsidRPr="003A5013" w:rsidRDefault="003A5013" w:rsidP="003A5013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nesmí být realizován na pozemku, kde stojí stavba, která má způsob využití typu 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11"/>
            </w: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  <w:p w14:paraId="3AEABD4D" w14:textId="77777777" w:rsidR="003A5013" w:rsidRPr="003A5013" w:rsidRDefault="003A5013" w:rsidP="003A5013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objekt k bydlení, </w:t>
            </w:r>
          </w:p>
          <w:p w14:paraId="5A6CF7E8" w14:textId="77777777" w:rsidR="003A5013" w:rsidRPr="003A5013" w:rsidRDefault="003A5013" w:rsidP="003A5013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>bytový dům,</w:t>
            </w:r>
          </w:p>
          <w:p w14:paraId="7A9C58B8" w14:textId="7DF72697" w:rsidR="003A5013" w:rsidRPr="003A5013" w:rsidRDefault="003A5013" w:rsidP="00982D83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rodinný dům. 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5B048F04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EF762D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7CF085F4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4360FDF3" w14:textId="3C58CEC8" w:rsidR="001811EB" w:rsidRPr="00F01934" w:rsidRDefault="001811EB" w:rsidP="00333B4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Projekty, které spadají pod integrovanou prevenci a omezování znečištění podle Přílohy č. 1 zákona č. 76/2002 Sb., o integrované prevenci a omezování znečištění, o integrovaném registru znečišťování a o změně některých zákonů</w:t>
            </w:r>
            <w:r w:rsidR="004635E5">
              <w:rPr>
                <w:rFonts w:ascii="Calibri" w:eastAsia="Times New Roman" w:hAnsi="Calibri" w:cs="Calibri"/>
                <w:color w:val="000000"/>
                <w:lang w:eastAsia="cs-CZ"/>
              </w:rPr>
              <w:t>, v platném znění</w:t>
            </w: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, musí splňovat požadavky na úrovni nejlepších dostupných technik.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7AFB33B5" w14:textId="77777777" w:rsidR="001811EB" w:rsidRPr="006361DB" w:rsidRDefault="001811EB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FB9E31" w14:textId="77777777" w:rsidR="001811EB" w:rsidRPr="006361DB" w:rsidRDefault="001811EB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007DFE0E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511B2A33" w14:textId="3A944F4F" w:rsidR="00973D70" w:rsidRDefault="001811EB" w:rsidP="00333B4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Splnění kritérií udržitelnosti a úspor emisí skleníkových plynů pro </w:t>
            </w:r>
            <w:r w:rsidR="00594E8D"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pevnou biomasu, </w:t>
            </w:r>
            <w:r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>biop</w:t>
            </w:r>
            <w:r w:rsidR="00594E8D"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>lyn a biometan</w:t>
            </w:r>
            <w:r w:rsidR="0037314B"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>podle směrnice 2018/2001 o podpoře využívání energie z obnovitelných zdrojů</w:t>
            </w:r>
            <w:r w:rsidR="00032FC8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12"/>
            </w:r>
            <w:r w:rsidR="00E1547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594E8D"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  <w:p w14:paraId="0D7CF47F" w14:textId="77777777" w:rsidR="00973D70" w:rsidRDefault="000E1653" w:rsidP="00E15473">
            <w:pPr>
              <w:pStyle w:val="Odstavecseseznamem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Podpořeny nebudou projekty rekonstrukce či výstavby zdroje nad 5 MW příkonu. </w:t>
            </w:r>
          </w:p>
          <w:p w14:paraId="55B801C3" w14:textId="6B2A548B" w:rsidR="00663626" w:rsidRPr="00E15473" w:rsidRDefault="00594E8D" w:rsidP="00E15473">
            <w:pPr>
              <w:pStyle w:val="Odstavecseseznamem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>V případě využívání obnovitelných zdrojů energie a vysoce účinné KVET na pevnou biomasu, kde podporované druhy pevné biomasy a jejich maximální přepravní vzdálenosti jsou definovány v</w:t>
            </w:r>
            <w:r w:rsidR="008457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>příloze</w:t>
            </w:r>
            <w:r w:rsidR="008457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Výzvy</w:t>
            </w:r>
            <w:r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729C1" w:rsidRPr="00CA0700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  <w:r w:rsidR="00CA07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8014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8457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729C1"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>„</w:t>
            </w:r>
            <w:r w:rsidR="00255278"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Druhy pevné biomasy s </w:t>
            </w:r>
            <w:r w:rsidR="0037314B"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>úsporami</w:t>
            </w:r>
            <w:r w:rsidR="00255278"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7314B"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>skleníkových plynů</w:t>
            </w:r>
            <w:r w:rsidR="001729C1"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>“</w:t>
            </w:r>
            <w:r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 w:rsidR="00757D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energetický specialista </w:t>
            </w:r>
            <w:r w:rsidRPr="0066362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jednoznačně identifikuje druh biomasy podle dané přílohy a v případě dalších biomasových zdrojů mimo RED II provede individuální výpočet prokazující docílení alespoň 80 % úspory emisí skleníkových plynů pocházejících z používání biomasy ve vztahu k metodice úspor emisí skleníkových plynů a k referenčním fosilním palivům stanoveným v příloze VI směrnice (EU) 2018/2001.</w:t>
            </w:r>
            <w:r w:rsidR="00720056" w:rsidRPr="00E154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0F288749" w14:textId="77777777" w:rsidR="001811EB" w:rsidRPr="006361DB" w:rsidRDefault="001811EB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DAAF26" w14:textId="77777777" w:rsidR="001811EB" w:rsidRPr="006361DB" w:rsidRDefault="001811EB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3370" w:rsidRPr="006361DB" w14:paraId="78506D34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6C8EA39E" w14:textId="05C16429" w:rsidR="00193370" w:rsidRPr="00F01934" w:rsidRDefault="00FA11CA" w:rsidP="00333B4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02B">
              <w:rPr>
                <w:rFonts w:ascii="Calibri" w:eastAsia="Times New Roman" w:hAnsi="Calibri" w:cs="Calibri"/>
                <w:color w:val="000000"/>
                <w:lang w:eastAsia="cs-CZ"/>
              </w:rPr>
              <w:t>Pokud je pro danou kombinaci podpor relevantní, tak v případě investiční podpory bude</w:t>
            </w:r>
            <w:r w:rsidR="00C8202B" w:rsidRPr="00C820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8202B">
              <w:rPr>
                <w:rFonts w:ascii="Calibri" w:eastAsia="Times New Roman" w:hAnsi="Calibri" w:cs="Calibri"/>
                <w:color w:val="000000"/>
                <w:lang w:eastAsia="cs-CZ"/>
              </w:rPr>
              <w:t>odpovídajícím způsobem snížena vnitrostátní provozní podpora podle oznámení Evropské</w:t>
            </w:r>
            <w:r w:rsidR="00C820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11CA">
              <w:rPr>
                <w:rFonts w:ascii="Calibri" w:eastAsia="Times New Roman" w:hAnsi="Calibri" w:cs="Calibri"/>
                <w:color w:val="000000"/>
                <w:lang w:eastAsia="cs-CZ"/>
              </w:rPr>
              <w:t>komise</w:t>
            </w:r>
            <w:r w:rsidR="00CA070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3727C821" w14:textId="77777777" w:rsidR="00193370" w:rsidRPr="006361DB" w:rsidRDefault="00193370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356AD7" w14:textId="77777777" w:rsidR="00193370" w:rsidRPr="006361DB" w:rsidRDefault="00193370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3370" w:rsidRPr="006361DB" w14:paraId="430C63EF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6B03B9F2" w14:textId="51FA3ABA" w:rsidR="00193370" w:rsidRPr="00F01934" w:rsidRDefault="00193370" w:rsidP="00333B4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Projekty obsahující návrh na kombinovanou výrobu elektřiny a tepla budou podporovány pouze v případě, pokud splní kritéria pro vysokoúčinnou výrobu elektřiny a tepla podle vyhlášky č. 37/2016 Sb. o elektřině z vysokoúčinné kombinované výroby elektřiny a tepla a elektřině z druhotných zdrojů</w:t>
            </w:r>
            <w:r w:rsidR="00CA0700">
              <w:rPr>
                <w:rFonts w:ascii="Calibri" w:eastAsia="Times New Roman" w:hAnsi="Calibri" w:cs="Calibri"/>
                <w:color w:val="000000"/>
                <w:lang w:eastAsia="cs-CZ"/>
              </w:rPr>
              <w:t>, ve znění pozdějších předpisů.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09016437" w14:textId="77777777" w:rsidR="00193370" w:rsidRPr="006361DB" w:rsidRDefault="00193370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6E49A8" w14:textId="77777777" w:rsidR="00193370" w:rsidRPr="006361DB" w:rsidRDefault="00193370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1420" w:rsidRPr="006361DB" w14:paraId="4B3E0EE9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3B5140F4" w14:textId="04933DD6" w:rsidR="00281420" w:rsidRPr="00F01934" w:rsidRDefault="00C8202B" w:rsidP="00333B4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0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Projektu, který dosáhne hodnoty IRR před zdaněním vyšší než 20 % (bez dotace) podle vyhlášky č. 141/2021 Sb., o energetickém posudku a o údajích vedených v Systému monitoringu spotřeby </w:t>
            </w:r>
            <w:r w:rsidRPr="00C8202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energie</w:t>
            </w:r>
            <w:r w:rsidR="00FD23DD">
              <w:rPr>
                <w:rFonts w:ascii="Calibri" w:eastAsia="Times New Roman" w:hAnsi="Calibri" w:cs="Calibri"/>
                <w:color w:val="000000"/>
                <w:lang w:eastAsia="cs-CZ"/>
              </w:rPr>
              <w:t>, v platném znění</w:t>
            </w:r>
            <w:r w:rsidR="00FD23DD" w:rsidRPr="00C820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viz Příloha č. 8</w:t>
            </w:r>
            <w:r w:rsidR="00782A3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vyhlášky</w:t>
            </w:r>
            <w:r w:rsidRPr="00C8202B">
              <w:rPr>
                <w:rFonts w:ascii="Calibri" w:eastAsia="Times New Roman" w:hAnsi="Calibri" w:cs="Calibri"/>
                <w:color w:val="000000"/>
                <w:lang w:eastAsia="cs-CZ"/>
              </w:rPr>
              <w:t>, nebude dotace poskytnuta.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3735A1F0" w14:textId="77777777" w:rsidR="00281420" w:rsidRPr="006361DB" w:rsidRDefault="00281420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92511A" w14:textId="77777777" w:rsidR="00281420" w:rsidRPr="006361DB" w:rsidRDefault="00281420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5B7F527B" w14:textId="77777777" w:rsidR="00C9767C" w:rsidRDefault="00C9767C" w:rsidP="00FF2B8C">
      <w:pPr>
        <w:jc w:val="both"/>
      </w:pPr>
    </w:p>
    <w:p w14:paraId="604F176A" w14:textId="7889DA0E" w:rsidR="00C15966" w:rsidRDefault="00C9767C" w:rsidP="00E15473">
      <w:pPr>
        <w:jc w:val="right"/>
      </w:pPr>
      <w:r>
        <w:t>Datum a podpis energetického specialisty</w:t>
      </w:r>
    </w:p>
    <w:p w14:paraId="5D37FDA8" w14:textId="353AA5E1" w:rsidR="007E2162" w:rsidRPr="007E2162" w:rsidRDefault="00C15966" w:rsidP="007E2162">
      <w:r>
        <w:br w:type="page"/>
      </w:r>
      <w:r w:rsidR="004631EE" w:rsidRPr="00E15473">
        <w:rPr>
          <w:rFonts w:asciiTheme="majorHAnsi" w:hAnsiTheme="majorHAnsi"/>
          <w:b/>
          <w:sz w:val="28"/>
        </w:rPr>
        <w:lastRenderedPageBreak/>
        <w:t>Potvrzení energetického specialisty</w:t>
      </w:r>
      <w:r w:rsidRPr="00E15473">
        <w:rPr>
          <w:rFonts w:asciiTheme="majorHAnsi" w:hAnsiTheme="majorHAnsi"/>
          <w:b/>
          <w:sz w:val="28"/>
        </w:rPr>
        <w:t xml:space="preserve"> </w:t>
      </w:r>
      <w:r w:rsidRPr="00C9767C">
        <w:rPr>
          <w:rFonts w:asciiTheme="majorHAnsi" w:hAnsiTheme="majorHAnsi"/>
          <w:b/>
          <w:sz w:val="28"/>
        </w:rPr>
        <w:t>8</w:t>
      </w:r>
      <w:r w:rsidR="004631EE" w:rsidRPr="00C9767C">
        <w:rPr>
          <w:rFonts w:asciiTheme="majorHAnsi" w:hAnsiTheme="majorHAnsi"/>
          <w:b/>
          <w:sz w:val="28"/>
        </w:rPr>
        <w:t xml:space="preserve">.b – </w:t>
      </w:r>
      <w:r w:rsidR="00982D83" w:rsidRPr="00C9767C">
        <w:rPr>
          <w:rFonts w:asciiTheme="majorHAnsi" w:hAnsiTheme="majorHAnsi"/>
          <w:b/>
          <w:sz w:val="28"/>
        </w:rPr>
        <w:t>Výčet specifických podmínek</w:t>
      </w:r>
      <w:r w:rsidR="006C45C2" w:rsidRPr="00C9767C">
        <w:rPr>
          <w:rFonts w:asciiTheme="majorHAnsi" w:hAnsiTheme="majorHAnsi"/>
          <w:b/>
          <w:sz w:val="28"/>
        </w:rPr>
        <w:t xml:space="preserve"> programu</w:t>
      </w:r>
      <w:r w:rsidR="00982D83" w:rsidRPr="00C9767C">
        <w:rPr>
          <w:rFonts w:asciiTheme="majorHAnsi" w:hAnsiTheme="majorHAnsi"/>
          <w:b/>
          <w:sz w:val="28"/>
        </w:rPr>
        <w:t>, ke kterým se bude vyjadřovat žadatel</w:t>
      </w: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2"/>
        <w:gridCol w:w="4922"/>
        <w:gridCol w:w="2762"/>
      </w:tblGrid>
      <w:tr w:rsidR="0061343A" w:rsidRPr="006361DB" w14:paraId="32AA2A55" w14:textId="77777777" w:rsidTr="00E15473">
        <w:trPr>
          <w:trHeight w:val="983"/>
          <w:tblHeader/>
        </w:trPr>
        <w:tc>
          <w:tcPr>
            <w:tcW w:w="7122" w:type="dxa"/>
            <w:shd w:val="clear" w:color="auto" w:fill="A6A6A6" w:themeFill="background1" w:themeFillShade="A6"/>
            <w:noWrap/>
            <w:vAlign w:val="center"/>
          </w:tcPr>
          <w:p w14:paraId="7C41E648" w14:textId="6E529CFF" w:rsidR="0061343A" w:rsidRPr="00982D83" w:rsidRDefault="0061343A" w:rsidP="0098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982D83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Specifická podmínka programu</w:t>
            </w:r>
          </w:p>
        </w:tc>
        <w:tc>
          <w:tcPr>
            <w:tcW w:w="4922" w:type="dxa"/>
            <w:shd w:val="clear" w:color="auto" w:fill="A6A6A6" w:themeFill="background1" w:themeFillShade="A6"/>
            <w:noWrap/>
            <w:vAlign w:val="center"/>
          </w:tcPr>
          <w:p w14:paraId="072C507F" w14:textId="7FE32890" w:rsidR="0061343A" w:rsidRPr="00982D83" w:rsidRDefault="0061343A" w:rsidP="0098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982D83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Stanovisko žadatele tam, kde je to relevantní</w:t>
            </w:r>
            <w:r w:rsidR="003B3F6E">
              <w:rPr>
                <w:rStyle w:val="Znakapoznpodarou"/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footnoteReference w:id="13"/>
            </w:r>
          </w:p>
        </w:tc>
        <w:tc>
          <w:tcPr>
            <w:tcW w:w="2762" w:type="dxa"/>
            <w:shd w:val="clear" w:color="auto" w:fill="A6A6A6" w:themeFill="background1" w:themeFillShade="A6"/>
            <w:noWrap/>
            <w:vAlign w:val="center"/>
          </w:tcPr>
          <w:p w14:paraId="4A18C0D3" w14:textId="25FA66A2" w:rsidR="0061343A" w:rsidRPr="00982D83" w:rsidRDefault="0061343A" w:rsidP="0098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982D83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Splněno (ANO/NE/NERELEVANTNÍ</w:t>
            </w:r>
            <w:r w:rsidR="00C15966" w:rsidRPr="003F24D8">
              <w:rPr>
                <w:rFonts w:ascii="Calibri" w:eastAsia="Times New Roman" w:hAnsi="Calibri" w:cs="Calibri"/>
                <w:b/>
                <w:bCs/>
                <w:color w:val="auto"/>
                <w:vertAlign w:val="superscript"/>
                <w:lang w:eastAsia="cs-CZ"/>
              </w:rPr>
              <w:t>1</w:t>
            </w:r>
            <w:r w:rsidRPr="00982D83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)</w:t>
            </w:r>
          </w:p>
        </w:tc>
      </w:tr>
      <w:tr w:rsidR="00D35E6C" w:rsidRPr="006361DB" w14:paraId="141759DC" w14:textId="77777777" w:rsidTr="00C15966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2B7BF7C5" w14:textId="667385B9" w:rsidR="00D35E6C" w:rsidRPr="00D35E6C" w:rsidRDefault="00D35E6C" w:rsidP="00E15473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5E6C">
              <w:rPr>
                <w:rFonts w:ascii="Calibri" w:eastAsia="Times New Roman" w:hAnsi="Calibri" w:cs="Calibri"/>
                <w:color w:val="000000"/>
                <w:lang w:eastAsia="cs-CZ"/>
              </w:rPr>
              <w:t>Požadavky na skleníkové plyny a jejich potenciál globálního oteplování v časovém horizontu 100 let (GWP 100), které obsahují   výrobky a zařízení, je uveden v příloze č. 11. Požadavky na fluorované skleníkové plyny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4DDD1562" w14:textId="77777777" w:rsidR="00D35E6C" w:rsidRPr="006361DB" w:rsidRDefault="00D35E6C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62" w:type="dxa"/>
            <w:shd w:val="clear" w:color="auto" w:fill="auto"/>
            <w:noWrap/>
            <w:vAlign w:val="bottom"/>
          </w:tcPr>
          <w:p w14:paraId="358A421E" w14:textId="77777777" w:rsidR="00D35E6C" w:rsidRPr="006361DB" w:rsidRDefault="00D35E6C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5E6C" w:rsidRPr="006361DB" w14:paraId="3F87D228" w14:textId="77777777" w:rsidTr="00C15966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77D29FC1" w14:textId="77777777" w:rsidR="00D35E6C" w:rsidRPr="00892E02" w:rsidRDefault="00D35E6C" w:rsidP="00892E02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2E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případě bateriové akumulace s technologií na bázi olova nebo </w:t>
            </w:r>
            <w:proofErr w:type="spellStart"/>
            <w:r w:rsidRPr="00892E02">
              <w:rPr>
                <w:rFonts w:ascii="Calibri" w:eastAsia="Times New Roman" w:hAnsi="Calibri" w:cs="Calibri"/>
                <w:color w:val="000000"/>
                <w:lang w:eastAsia="cs-CZ"/>
              </w:rPr>
              <w:t>NiCd</w:t>
            </w:r>
            <w:proofErr w:type="spellEnd"/>
            <w:r w:rsidRPr="00892E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podporovány pouze baterie se zajištěnou následnou recyklací (uzavřený cyklus). Účinnost recyklace konkrétního zpracovatele musí být podložena výpočtem dle nařízení EU č. 493/2012, přičemž účinnost recyklace musí být v souladu se směrnicí Evropského parlamentu a rady č. 2006/66/ES pro: </w:t>
            </w:r>
          </w:p>
          <w:p w14:paraId="6647A832" w14:textId="77777777" w:rsidR="00D35E6C" w:rsidRPr="00892E02" w:rsidRDefault="00D35E6C" w:rsidP="00892E02">
            <w:pPr>
              <w:pStyle w:val="Odstavecseseznamem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2E02">
              <w:rPr>
                <w:rFonts w:ascii="Calibri" w:eastAsia="Times New Roman" w:hAnsi="Calibri" w:cs="Calibri"/>
                <w:color w:val="000000"/>
                <w:lang w:eastAsia="cs-CZ"/>
              </w:rPr>
              <w:t>NiCd</w:t>
            </w:r>
            <w:proofErr w:type="spellEnd"/>
            <w:r w:rsidRPr="00892E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baterie min. 75 % celkově a 99 % pro Cd; </w:t>
            </w:r>
          </w:p>
          <w:p w14:paraId="660C7462" w14:textId="77777777" w:rsidR="00D35E6C" w:rsidRPr="00892E02" w:rsidRDefault="00D35E6C" w:rsidP="00892E02">
            <w:pPr>
              <w:pStyle w:val="Odstavecseseznamem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2E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baterie na bázi olova min. 65 % celkově a 97 % pro </w:t>
            </w:r>
            <w:proofErr w:type="spellStart"/>
            <w:r w:rsidRPr="00892E02">
              <w:rPr>
                <w:rFonts w:ascii="Calibri" w:eastAsia="Times New Roman" w:hAnsi="Calibri" w:cs="Calibri"/>
                <w:color w:val="000000"/>
                <w:lang w:eastAsia="cs-CZ"/>
              </w:rPr>
              <w:t>Pb</w:t>
            </w:r>
            <w:proofErr w:type="spellEnd"/>
            <w:r w:rsidRPr="00892E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  <w:p w14:paraId="20E0B23C" w14:textId="06D9B4DD" w:rsidR="00D35E6C" w:rsidRPr="00892E02" w:rsidRDefault="00D35E6C" w:rsidP="00892E02">
            <w:pPr>
              <w:pStyle w:val="Odstavecseseznamem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2E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ostatní technologie (např. lithium, </w:t>
            </w:r>
            <w:proofErr w:type="spellStart"/>
            <w:r w:rsidRPr="00892E02">
              <w:rPr>
                <w:rFonts w:ascii="Calibri" w:eastAsia="Times New Roman" w:hAnsi="Calibri" w:cs="Calibri"/>
                <w:color w:val="000000"/>
                <w:lang w:eastAsia="cs-CZ"/>
              </w:rPr>
              <w:t>NiMH</w:t>
            </w:r>
            <w:proofErr w:type="spellEnd"/>
            <w:r w:rsidRPr="00892E02">
              <w:rPr>
                <w:rFonts w:ascii="Calibri" w:eastAsia="Times New Roman" w:hAnsi="Calibri" w:cs="Calibri"/>
                <w:color w:val="000000"/>
                <w:lang w:eastAsia="cs-CZ"/>
              </w:rPr>
              <w:t>) není prokázání způsobu následné likvidace bateriového systému požadováno.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67226D8E" w14:textId="77777777" w:rsidR="00D35E6C" w:rsidRPr="006361DB" w:rsidRDefault="00D35E6C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62" w:type="dxa"/>
            <w:shd w:val="clear" w:color="auto" w:fill="auto"/>
            <w:noWrap/>
            <w:vAlign w:val="bottom"/>
          </w:tcPr>
          <w:p w14:paraId="2ED1BE8C" w14:textId="77777777" w:rsidR="00D35E6C" w:rsidRPr="006361DB" w:rsidRDefault="00D35E6C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5E6C" w:rsidRPr="006361DB" w14:paraId="0C4E5C90" w14:textId="77777777" w:rsidTr="00C15966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685D57D5" w14:textId="77777777" w:rsidR="00D35E6C" w:rsidRPr="00333B41" w:rsidRDefault="00D35E6C" w:rsidP="00333B41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>V případě realizace technologie pro akumulaci, úpravu a rozvod šedých a srážkových vod:</w:t>
            </w:r>
          </w:p>
          <w:p w14:paraId="5FFF7618" w14:textId="77777777" w:rsidR="00D35E6C" w:rsidRPr="00333B41" w:rsidRDefault="00D35E6C" w:rsidP="00333B41">
            <w:pPr>
              <w:pStyle w:val="Odstavecseseznamem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případě nádrží (podzemních i povrchových) projekt obsahuje předčištění na vtoku do objektu a bezpečnostní přeliv. </w:t>
            </w:r>
          </w:p>
          <w:p w14:paraId="66627040" w14:textId="77777777" w:rsidR="00D35E6C" w:rsidRPr="00333B41" w:rsidRDefault="00D35E6C" w:rsidP="00333B41">
            <w:pPr>
              <w:pStyle w:val="Odstavecseseznamem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>Akumulační nádrže jsou navrženy v souladu s „Metodikou dimenzování akumulačních nádrží“</w:t>
            </w:r>
            <w:r w:rsidRPr="00333B41">
              <w:rPr>
                <w:rFonts w:ascii="Calibri" w:eastAsia="Times New Roman" w:hAnsi="Calibri" w:cs="Calibri"/>
                <w:vertAlign w:val="superscript"/>
                <w:lang w:eastAsia="cs-CZ"/>
              </w:rPr>
              <w:footnoteReference w:id="14"/>
            </w: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  <w:p w14:paraId="697938EA" w14:textId="77777777" w:rsidR="00D35E6C" w:rsidRPr="00333B41" w:rsidRDefault="00D35E6C" w:rsidP="00333B41">
            <w:pPr>
              <w:pStyle w:val="Odstavecseseznamem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případě šedých vod nelze uplatnit využití (úpravu) na vodu pitnou. </w:t>
            </w:r>
          </w:p>
          <w:p w14:paraId="30A09938" w14:textId="6A8957E6" w:rsidR="00D35E6C" w:rsidRPr="00D35E6C" w:rsidRDefault="00D35E6C" w:rsidP="00892E02">
            <w:pPr>
              <w:pStyle w:val="Odstavecseseznamem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Projekty na recyklaci šedých vod musí být v souladu s „Metodickým postupem problematiky recyklace šedých vod v sídlech ČR“</w:t>
            </w:r>
            <w:r w:rsidRPr="00333B41">
              <w:rPr>
                <w:rFonts w:ascii="Calibri" w:eastAsia="Times New Roman" w:hAnsi="Calibri" w:cs="Calibri"/>
                <w:vertAlign w:val="superscript"/>
                <w:lang w:eastAsia="cs-CZ"/>
              </w:rPr>
              <w:footnoteReference w:id="15"/>
            </w: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1C22D821" w14:textId="77777777" w:rsidR="00D35E6C" w:rsidRPr="006361DB" w:rsidRDefault="00D35E6C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62" w:type="dxa"/>
            <w:shd w:val="clear" w:color="auto" w:fill="auto"/>
            <w:noWrap/>
            <w:vAlign w:val="bottom"/>
          </w:tcPr>
          <w:p w14:paraId="7FCA3B35" w14:textId="77777777" w:rsidR="00D35E6C" w:rsidRPr="006361DB" w:rsidRDefault="00D35E6C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5E6C" w:rsidRPr="006361DB" w14:paraId="08BC78C3" w14:textId="77777777" w:rsidTr="00C15966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06F24806" w14:textId="77777777" w:rsidR="00D35E6C" w:rsidRPr="00333B41" w:rsidRDefault="00D35E6C" w:rsidP="00333B41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případě realizace zelených střech:  </w:t>
            </w:r>
          </w:p>
          <w:p w14:paraId="17C1C747" w14:textId="4FF6E82E" w:rsidR="00D35E6C" w:rsidRPr="00333B41" w:rsidRDefault="00D35E6C" w:rsidP="00333B41">
            <w:pPr>
              <w:pStyle w:val="Odstavecseseznamem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>Musí být součinitel odtoku max. 0,55 u plochých extenzivních střech</w:t>
            </w:r>
            <w:r w:rsidR="00C34269" w:rsidRPr="00892E02">
              <w:rPr>
                <w:rFonts w:ascii="Calibri" w:eastAsia="Times New Roman" w:hAnsi="Calibri" w:cs="Calibri"/>
                <w:vertAlign w:val="superscript"/>
                <w:lang w:eastAsia="cs-CZ"/>
              </w:rPr>
              <w:footnoteReference w:id="16"/>
            </w: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, max. 0,1 u plochých intenzivních střech</w:t>
            </w:r>
            <w:r w:rsidR="00C34269" w:rsidRPr="00892E02">
              <w:rPr>
                <w:rFonts w:ascii="Calibri" w:eastAsia="Times New Roman" w:hAnsi="Calibri" w:cs="Calibri"/>
                <w:vertAlign w:val="superscript"/>
                <w:lang w:eastAsia="cs-CZ"/>
              </w:rPr>
              <w:footnoteReference w:id="17"/>
            </w: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a max. 0,7 u střech se sklonem nad 12°. </w:t>
            </w:r>
          </w:p>
          <w:p w14:paraId="0006B202" w14:textId="77777777" w:rsidR="00D35E6C" w:rsidRPr="00333B41" w:rsidRDefault="00D35E6C" w:rsidP="00333B41">
            <w:pPr>
              <w:pStyle w:val="Odstavecseseznamem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>Plocha zelené střechy je minimálně 10 m</w:t>
            </w:r>
            <w:r w:rsidRPr="00892E02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 případě více nenavazujících ploch musí každá z ploch splňovat tento limit). </w:t>
            </w:r>
          </w:p>
          <w:p w14:paraId="1BE7A795" w14:textId="77777777" w:rsidR="00D35E6C" w:rsidRPr="00333B41" w:rsidRDefault="00D35E6C" w:rsidP="00333B41">
            <w:pPr>
              <w:pStyle w:val="Odstavecseseznamem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Součástí skladby zelené střechy je instalace geotextílie, jako ochranné vrstvy hydroizolačního souvrství o plošné hmotnosti 500 g/m2 a více. </w:t>
            </w:r>
          </w:p>
          <w:p w14:paraId="2114C318" w14:textId="77777777" w:rsidR="00D35E6C" w:rsidRPr="00333B41" w:rsidRDefault="00D35E6C" w:rsidP="00333B41">
            <w:pPr>
              <w:pStyle w:val="Odstavecseseznamem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Plocha zeleně musí tvořit minimálně 30 % z celkové plochy střešní konstrukce, </w:t>
            </w:r>
          </w:p>
          <w:p w14:paraId="4498EA24" w14:textId="348D272B" w:rsidR="00D35E6C" w:rsidRPr="00E15473" w:rsidRDefault="00D35E6C" w:rsidP="00333B41">
            <w:pPr>
              <w:pStyle w:val="Odstavecseseznamem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color w:val="000000"/>
              </w:rPr>
            </w:pPr>
            <w:r w:rsidRPr="00333B41">
              <w:rPr>
                <w:rFonts w:ascii="Calibri" w:eastAsia="Times New Roman" w:hAnsi="Calibri" w:cs="Calibri"/>
                <w:color w:val="000000"/>
                <w:lang w:eastAsia="cs-CZ"/>
              </w:rPr>
              <w:t>K závlaze zelených střech musí být primárně využívána srážková voda. Doplňkově může být k závlaze využita voda z vodovodního řadu či jiných zdrojů,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395B3DEC" w14:textId="77777777" w:rsidR="00D35E6C" w:rsidRPr="006361DB" w:rsidRDefault="00D35E6C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62" w:type="dxa"/>
            <w:shd w:val="clear" w:color="auto" w:fill="auto"/>
            <w:noWrap/>
            <w:vAlign w:val="bottom"/>
          </w:tcPr>
          <w:p w14:paraId="7C634E36" w14:textId="77777777" w:rsidR="00D35E6C" w:rsidRPr="006361DB" w:rsidRDefault="00D35E6C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343A" w:rsidRPr="006361DB" w14:paraId="17E91185" w14:textId="77777777" w:rsidTr="00E15473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4640AAE3" w14:textId="0F98C9B3" w:rsidR="0061343A" w:rsidRPr="00F01934" w:rsidRDefault="0061343A" w:rsidP="003F24D8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473">
              <w:rPr>
                <w:rFonts w:ascii="Calibri" w:eastAsia="Times New Roman" w:hAnsi="Calibri" w:cs="Calibri"/>
                <w:color w:val="000000"/>
                <w:lang w:eastAsia="cs-CZ"/>
              </w:rPr>
              <w:t>Budova neslouží k těžbě, skladování, přepravě nebo výrobě fosilních paliv.</w:t>
            </w:r>
            <w:r w:rsidR="008F489E" w:rsidRPr="00E154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39E8B12A" w14:textId="77777777" w:rsidR="0061343A" w:rsidRPr="006361DB" w:rsidRDefault="0061343A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62" w:type="dxa"/>
            <w:shd w:val="clear" w:color="auto" w:fill="auto"/>
            <w:noWrap/>
            <w:vAlign w:val="bottom"/>
          </w:tcPr>
          <w:p w14:paraId="2EE164E9" w14:textId="77777777" w:rsidR="0061343A" w:rsidRPr="006361DB" w:rsidRDefault="0061343A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2D83" w:rsidRPr="006361DB" w14:paraId="3AA1DC8C" w14:textId="77777777" w:rsidTr="00E15473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2716EA1D" w14:textId="0B69D232" w:rsidR="00BB07CC" w:rsidRPr="00E15473" w:rsidRDefault="00125F56" w:rsidP="003C10BE">
            <w:pPr>
              <w:pStyle w:val="Odstavecseseznamem"/>
              <w:numPr>
                <w:ilvl w:val="0"/>
                <w:numId w:val="42"/>
              </w:numPr>
              <w:spacing w:before="80" w:after="8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7C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úrovni záměru je třeba posoudit výskyt ptáků a netopýrů a aplikovat opatření k jejich ochraně (práce mimo dobu jejich výskytu, instalace budek, realizace větracích otvorů tak, aby byly i nadále přístupné). </w:t>
            </w:r>
            <w:r w:rsidR="00BB07CC" w:rsidRPr="00BB07C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Vztahuje se pouze na opatření v rámci </w:t>
            </w:r>
            <w:r w:rsidR="00BB07CC" w:rsidRPr="00BB07CC">
              <w:t xml:space="preserve">Snížení energetické náročnosti budov podnikatelských subjektů včetně opatření podle bodu 7 článku </w:t>
            </w:r>
            <w:proofErr w:type="gramStart"/>
            <w:r w:rsidR="00BB07CC" w:rsidRPr="00BB07CC">
              <w:t>38a</w:t>
            </w:r>
            <w:proofErr w:type="gramEnd"/>
            <w:r w:rsidR="00BB07CC" w:rsidRPr="00BB07CC">
              <w:t xml:space="preserve"> GBER Výzvy.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10704DFD" w14:textId="77777777" w:rsidR="00982D83" w:rsidRDefault="00982D83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52032CD" w14:textId="31B88FC5" w:rsidR="00757D8A" w:rsidRPr="006361DB" w:rsidRDefault="00757D8A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62" w:type="dxa"/>
            <w:shd w:val="clear" w:color="auto" w:fill="auto"/>
            <w:noWrap/>
            <w:vAlign w:val="bottom"/>
          </w:tcPr>
          <w:p w14:paraId="2F49BB44" w14:textId="77777777" w:rsidR="00982D83" w:rsidRPr="006361DB" w:rsidRDefault="00982D83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7D8A" w:rsidRPr="006361DB" w14:paraId="6BFB0D58" w14:textId="77777777" w:rsidTr="00E15473">
        <w:trPr>
          <w:trHeight w:val="6084"/>
        </w:trPr>
        <w:tc>
          <w:tcPr>
            <w:tcW w:w="7122" w:type="dxa"/>
            <w:shd w:val="clear" w:color="auto" w:fill="auto"/>
            <w:noWrap/>
            <w:vAlign w:val="center"/>
          </w:tcPr>
          <w:p w14:paraId="17806E47" w14:textId="46EE224E" w:rsidR="00344153" w:rsidRPr="003F24D8" w:rsidRDefault="00344153" w:rsidP="003F24D8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Je-li součástí Projektu pořízení zdroje na biomasu, musí příjemce </w:t>
            </w:r>
            <w:r w:rsidRPr="003F24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nejpozději k prvnímu podání žádosti o platbu, ve které jsou zahrnuty způsobilé výdaje na zdroj na biomasu, předložit uzavřenou smlouvu o dodávce biomasy. Pokud příjemce používá jako druh biomasy Dřevní štěpku z průmyslových zbytků, Dřevěné brikety nebo pelety ze zbytků z dřevozpracujícího průmyslu (pouze výroba tepla) anebo Slámové pelety (pouze výroba tepla) podle Přílohy </w:t>
            </w:r>
            <w:r w:rsidR="009D412A">
              <w:rPr>
                <w:rFonts w:ascii="Calibri" w:eastAsia="Times New Roman" w:hAnsi="Calibri" w:cs="Calibri"/>
                <w:color w:val="000000"/>
                <w:lang w:eastAsia="cs-CZ"/>
              </w:rPr>
              <w:t>č. 9</w:t>
            </w:r>
            <w:r w:rsidR="00D53F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F24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Výzvy „Druhy pevné biomasy s úsporami emisí skleníkových plynů“, musí nejpozději k prvnímu podání žádosti o platbu, ve které jsou zahrnuty způsobilé výdaje na zdroj na biomasu, doložit provedení opatření k přizpůsobování se změnám klimatu a zavedení adaptačního opatření v podobě recyklace popela ze spalování biomasy zpět na ornou půdu. Uvedené příjemce doloží smlouvou o smlouvě budoucí/smlouvou na odběr popela se zemědělským podnikatelem. </w:t>
            </w:r>
          </w:p>
          <w:p w14:paraId="771DCAD5" w14:textId="737E922B" w:rsidR="006B32C8" w:rsidRPr="003F24D8" w:rsidRDefault="00344153" w:rsidP="003F24D8">
            <w:pPr>
              <w:pStyle w:val="Odstavecseseznamem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24D8">
              <w:rPr>
                <w:rFonts w:ascii="Calibri" w:eastAsia="Times New Roman" w:hAnsi="Calibri" w:cs="Calibri"/>
                <w:color w:val="000000"/>
                <w:lang w:eastAsia="cs-CZ"/>
              </w:rPr>
              <w:t>Je-li v rámci Projektu používána zemědělská biomasa, tak splňuje kritéria stanovená v čl. 29 odst. 2 až 5 směrnice (EU) 2018/2001</w:t>
            </w:r>
            <w:r w:rsidR="006B32C8" w:rsidRPr="003F24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Pokud zařízení vyrábí elektřinu, KVET, tepelnou energii, chlazení s celkovým jmenovitým tepelným příkonem nejméně 2 MW využívající plynná paliva ze zemědělské biomasy, tak dokladem k prokázání plnění těchto kritérií je platný certifikát kritérií udržitelnosti podle systému KZR </w:t>
            </w:r>
            <w:proofErr w:type="spellStart"/>
            <w:r w:rsidR="006B32C8" w:rsidRPr="003F24D8">
              <w:rPr>
                <w:rFonts w:ascii="Calibri" w:eastAsia="Times New Roman" w:hAnsi="Calibri" w:cs="Calibri"/>
                <w:color w:val="000000"/>
                <w:lang w:eastAsia="cs-CZ"/>
              </w:rPr>
              <w:t>INiG</w:t>
            </w:r>
            <w:proofErr w:type="spellEnd"/>
            <w:r w:rsidR="006B32C8" w:rsidRPr="003F24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nebo SURE nebo ISCC. Tento certifikát se dokládá nejpozději v rámci 1. Zprávy o udržitelnosti projektu</w:t>
            </w:r>
            <w:r w:rsidR="00C9767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4CFB33CE" w14:textId="77777777" w:rsidR="00757D8A" w:rsidRDefault="00757D8A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62" w:type="dxa"/>
            <w:shd w:val="clear" w:color="auto" w:fill="auto"/>
            <w:noWrap/>
            <w:vAlign w:val="bottom"/>
          </w:tcPr>
          <w:p w14:paraId="5BFF4B5D" w14:textId="77777777" w:rsidR="00757D8A" w:rsidRPr="006361DB" w:rsidRDefault="00757D8A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63E60" w:rsidRPr="006361DB" w14:paraId="3AB0D905" w14:textId="77777777" w:rsidTr="00E15473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74E92DEA" w14:textId="3E4BFCCD" w:rsidR="00C63E60" w:rsidRPr="00F01934" w:rsidRDefault="00C63E60" w:rsidP="003F24D8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Žadatel o podporu není provozovatel stacionárního zařízení v České republice, která jsou součástí Evropského systému emisního obchodování.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30936E68" w14:textId="77777777" w:rsidR="00C63E60" w:rsidRPr="006361DB" w:rsidRDefault="00C63E60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62" w:type="dxa"/>
            <w:shd w:val="clear" w:color="auto" w:fill="auto"/>
            <w:noWrap/>
            <w:vAlign w:val="bottom"/>
          </w:tcPr>
          <w:p w14:paraId="22FF6420" w14:textId="77777777" w:rsidR="00C63E60" w:rsidRPr="006361DB" w:rsidRDefault="00C63E60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63E60" w:rsidRPr="006361DB" w14:paraId="6120AD07" w14:textId="77777777" w:rsidTr="00E15473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6F3CEED0" w14:textId="4E75AC8C" w:rsidR="00C63E60" w:rsidRPr="00F01934" w:rsidRDefault="00C6012E" w:rsidP="003F24D8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Pokud je ž</w:t>
            </w:r>
            <w:r w:rsidR="00C63E60"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adatel o podporu provozovatel stacionárního zařízení v České republice, která jsou součástí Evropského systému emisního obchodování, </w:t>
            </w: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tak se bude jednat o způsobilé opatření za předpokladu splnění podmínek uvedených v kapitole výzvy.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18"/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0FA28825" w14:textId="77777777" w:rsidR="00C63E60" w:rsidRPr="006361DB" w:rsidRDefault="00C63E60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62" w:type="dxa"/>
            <w:shd w:val="clear" w:color="auto" w:fill="auto"/>
            <w:noWrap/>
            <w:vAlign w:val="bottom"/>
          </w:tcPr>
          <w:p w14:paraId="694D9A2D" w14:textId="77777777" w:rsidR="00C63E60" w:rsidRPr="006361DB" w:rsidRDefault="00C63E60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7DB26A0" w14:textId="58828D25" w:rsidR="000113AC" w:rsidRDefault="000113AC" w:rsidP="00FF2B8C">
      <w:pPr>
        <w:jc w:val="both"/>
      </w:pPr>
    </w:p>
    <w:p w14:paraId="236DAF5E" w14:textId="0286B428" w:rsidR="004631EE" w:rsidRDefault="00C9767C" w:rsidP="004631EE">
      <w:pPr>
        <w:jc w:val="right"/>
      </w:pPr>
      <w:r>
        <w:t>Datum a podpis žadatele</w:t>
      </w:r>
    </w:p>
    <w:sectPr w:rsidR="004631EE" w:rsidSect="006361DB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16BA" w14:textId="77777777" w:rsidR="0010742F" w:rsidRDefault="0010742F" w:rsidP="00677FE0">
      <w:pPr>
        <w:spacing w:after="0" w:line="240" w:lineRule="auto"/>
      </w:pPr>
      <w:r>
        <w:separator/>
      </w:r>
    </w:p>
  </w:endnote>
  <w:endnote w:type="continuationSeparator" w:id="0">
    <w:p w14:paraId="23CE7FE9" w14:textId="77777777" w:rsidR="0010742F" w:rsidRDefault="0010742F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933616"/>
      <w:docPartObj>
        <w:docPartGallery w:val="Page Numbers (Bottom of Page)"/>
        <w:docPartUnique/>
      </w:docPartObj>
    </w:sdtPr>
    <w:sdtEndPr/>
    <w:sdtContent>
      <w:p w14:paraId="0B467327" w14:textId="77777777" w:rsidR="007E2162" w:rsidRDefault="007E2162" w:rsidP="007E2162">
        <w:pPr>
          <w:pStyle w:val="Zpat"/>
          <w:jc w:val="center"/>
        </w:pPr>
      </w:p>
      <w:p w14:paraId="4095C3C1" w14:textId="7EAE32B4" w:rsidR="007E2162" w:rsidRDefault="007E2162" w:rsidP="007E21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387">
          <w:rPr>
            <w:noProof/>
          </w:rPr>
          <w:t>11</w:t>
        </w:r>
        <w:r>
          <w:fldChar w:fldCharType="end"/>
        </w:r>
      </w:p>
    </w:sdtContent>
  </w:sdt>
  <w:p w14:paraId="4366DDB0" w14:textId="292FBFF7" w:rsidR="007E2162" w:rsidRDefault="00AC7380">
    <w:pPr>
      <w:pStyle w:val="Zpat"/>
    </w:pPr>
    <w:r>
      <w:rPr>
        <w:noProof/>
        <w:lang w:eastAsia="cs-CZ"/>
      </w:rPr>
      <w:drawing>
        <wp:anchor distT="0" distB="0" distL="0" distR="0" simplePos="0" relativeHeight="251661312" behindDoc="1" locked="0" layoutInCell="1" allowOverlap="1" wp14:anchorId="27E4425F" wp14:editId="7AD2EF9B">
          <wp:simplePos x="0" y="0"/>
          <wp:positionH relativeFrom="page">
            <wp:posOffset>720090</wp:posOffset>
          </wp:positionH>
          <wp:positionV relativeFrom="page">
            <wp:posOffset>6939280</wp:posOffset>
          </wp:positionV>
          <wp:extent cx="2944114" cy="42418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70A0" w14:textId="77777777" w:rsidR="0010742F" w:rsidRDefault="0010742F" w:rsidP="00677FE0">
      <w:pPr>
        <w:spacing w:after="0" w:line="240" w:lineRule="auto"/>
      </w:pPr>
      <w:r>
        <w:separator/>
      </w:r>
    </w:p>
  </w:footnote>
  <w:footnote w:type="continuationSeparator" w:id="0">
    <w:p w14:paraId="46345FE0" w14:textId="77777777" w:rsidR="0010742F" w:rsidRDefault="0010742F" w:rsidP="00677FE0">
      <w:pPr>
        <w:spacing w:after="0" w:line="240" w:lineRule="auto"/>
      </w:pPr>
      <w:r>
        <w:continuationSeparator/>
      </w:r>
    </w:p>
  </w:footnote>
  <w:footnote w:id="1">
    <w:p w14:paraId="418F2926" w14:textId="04C30407" w:rsidR="003B3F6E" w:rsidRDefault="003B3F6E">
      <w:pPr>
        <w:pStyle w:val="Textpoznpodarou"/>
      </w:pPr>
      <w:r>
        <w:rPr>
          <w:rStyle w:val="Znakapoznpodarou"/>
        </w:rPr>
        <w:footnoteRef/>
      </w:r>
      <w:r>
        <w:t xml:space="preserve"> Energetický specialista zadá relevantní hodnotu nebo popis s odkazem na zdroj dat v energetické posudku. Na základě uvedené hodnoty a popisu určí</w:t>
      </w:r>
      <w:r w:rsidR="000A693A">
        <w:t>,</w:t>
      </w:r>
      <w:r>
        <w:t xml:space="preserve"> zda je specifická podmínka splněna. Pokud je specifická podmínka nerelevantní, tak není nutné vyplňovat.</w:t>
      </w:r>
    </w:p>
  </w:footnote>
  <w:footnote w:id="2">
    <w:p w14:paraId="681AB17E" w14:textId="77777777" w:rsidR="003319BB" w:rsidRDefault="003319BB" w:rsidP="003319B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B51AE">
        <w:t>„konečnou spotřebou energie“ či „FEC“ veškerá energie dodávaná odvětvím průmyslu, dopravy, včetně spotřeby energie v mezinárodní letecké dopravě, domácnostem, veřejným a soukromým službám, zemědělství, lesnictví a rybářství a jiným odvětvím konečných uživatelů, s výjimkou spotřeby energie u zásobníků mezinárodních námořních plavidel, energie okolního prostředí a dodávek do odvětví přeměny energie a do odvětví energetiky a ztrát v důsledku přenosu a distribuce ve smyslu přílohy A nařízení (ES) č. 1099/2008</w:t>
      </w:r>
    </w:p>
  </w:footnote>
  <w:footnote w:id="3">
    <w:p w14:paraId="631823BC" w14:textId="77777777" w:rsidR="003319BB" w:rsidRDefault="003319BB" w:rsidP="003319B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31C6C">
        <w:t>Pokud nelze při stanovení výchozího stavu spotřeby energie předmětu energetického posudku postupovat dle Přílohy č.</w:t>
      </w:r>
      <w:r>
        <w:t xml:space="preserve"> </w:t>
      </w:r>
      <w:r w:rsidRPr="00931C6C">
        <w:t xml:space="preserve">3 kapitoly 3 odstavce (1) písmena a), tedy na základě historie spotřeby energie stanovené pro ucelené období alespoň jednoho roku, postupuje se v souladu s touto vyhláškou stanovením referenčního stavu. Referenčním stavem je spotřeba energie budovy stanovená na základě průkazu energetické náročnosti budovy pro stav po realizaci navržených úspor odpovídající 1,2x </w:t>
      </w:r>
      <w:proofErr w:type="gramStart"/>
      <w:r w:rsidRPr="00931C6C">
        <w:t>ER - násobku</w:t>
      </w:r>
      <w:proofErr w:type="gramEnd"/>
      <w:r w:rsidRPr="00931C6C">
        <w:t xml:space="preserve"> spotřeby energie referenční budovy (pro všechny energetické ukazatele). Typický profil užívání je stanoven podrobně na základě skutečných projektových parametrů (nepřipouští se využití typického profilu užívání dle ČSN 730331-1)</w:t>
      </w:r>
    </w:p>
  </w:footnote>
  <w:footnote w:id="4">
    <w:p w14:paraId="028A3BF1" w14:textId="72789A9F" w:rsidR="003319BB" w:rsidRDefault="003319BB" w:rsidP="003319B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65166">
        <w:t>Faktory</w:t>
      </w:r>
      <w:r w:rsidR="009C2B8F">
        <w:t xml:space="preserve"> celkové</w:t>
      </w:r>
      <w:r w:rsidRPr="00E65166">
        <w:t xml:space="preserve"> primární energie </w:t>
      </w:r>
      <w:r>
        <w:t xml:space="preserve">viz příloha č. </w:t>
      </w:r>
      <w:r w:rsidR="00D64F64">
        <w:t>10</w:t>
      </w:r>
      <w:r>
        <w:t xml:space="preserve"> Faktory </w:t>
      </w:r>
      <w:r w:rsidR="009C2B8F">
        <w:t xml:space="preserve">celkové </w:t>
      </w:r>
      <w:r>
        <w:t>primární energie</w:t>
      </w:r>
      <w:r w:rsidR="009C2B8F">
        <w:t xml:space="preserve"> a primární energie z neobnovitelných zdrojů energie</w:t>
      </w:r>
      <w:r>
        <w:t xml:space="preserve"> pro potřeby II. Výzvy Úspory energie</w:t>
      </w:r>
      <w:r w:rsidRPr="00E65166">
        <w:t>. Do výpočtu je zahrnuta pouze energie na vytápění, chlazení, přípravu teplé vody, úpravu vlhkosti, větrání a osvětlení budovy.</w:t>
      </w:r>
    </w:p>
  </w:footnote>
  <w:footnote w:id="5">
    <w:p w14:paraId="57E1DD05" w14:textId="1AC04A73" w:rsidR="003319BB" w:rsidRDefault="003319BB" w:rsidP="003319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65166">
        <w:t xml:space="preserve">Faktory </w:t>
      </w:r>
      <w:r w:rsidR="009C2B8F">
        <w:t xml:space="preserve">celkové </w:t>
      </w:r>
      <w:r w:rsidRPr="00E65166">
        <w:t xml:space="preserve">primární energie </w:t>
      </w:r>
      <w:r>
        <w:t xml:space="preserve">viz příloha č. </w:t>
      </w:r>
      <w:r w:rsidR="00D64F64">
        <w:t>10</w:t>
      </w:r>
      <w:r>
        <w:t xml:space="preserve"> Faktory </w:t>
      </w:r>
      <w:r w:rsidR="009C2B8F">
        <w:t xml:space="preserve">celkové </w:t>
      </w:r>
      <w:r>
        <w:t>primární energie</w:t>
      </w:r>
      <w:r w:rsidR="009C2B8F">
        <w:t xml:space="preserve"> a primární energie z neobnovitelných zdrojů energie</w:t>
      </w:r>
      <w:r>
        <w:t xml:space="preserve"> pro potřeby II. Výzvy Úspory energie</w:t>
      </w:r>
      <w:r w:rsidRPr="00E65166">
        <w:t>.</w:t>
      </w:r>
    </w:p>
  </w:footnote>
  <w:footnote w:id="6">
    <w:p w14:paraId="0740D3E3" w14:textId="77777777" w:rsidR="00123132" w:rsidRDefault="00123132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Absolutní emise z projektu vycházejí z ohraničení projektu, které zahrnuje všechny významné a nepřímé emise skleníkových plynů (navrhovaný stav).</w:t>
      </w:r>
    </w:p>
  </w:footnote>
  <w:footnote w:id="7">
    <w:p w14:paraId="5D0D5499" w14:textId="77777777" w:rsidR="00123132" w:rsidRDefault="00123132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Relativní emise vycházejí z ohraničení projektu, které přiměřeně zahrnuje scénáře „s projektem“ a „bez projektu“ (většinou výchozí stav). Zahrnuje všechny významné přímé a nepřímé emise skleníkových plynů. Relativní emise jsou pak rozdílem </w:t>
      </w:r>
      <w:r w:rsidR="005F242A">
        <w:t>absolutních emisí a výchozího stavu projektu.</w:t>
      </w:r>
    </w:p>
  </w:footnote>
  <w:footnote w:id="8">
    <w:p w14:paraId="39F1974C" w14:textId="4BAFC070" w:rsidR="003A5013" w:rsidRDefault="003A5013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A5013">
        <w:t xml:space="preserve">Roční </w:t>
      </w:r>
      <w:r w:rsidR="009C510E">
        <w:t>kapacita</w:t>
      </w:r>
      <w:r w:rsidR="00333B41">
        <w:t xml:space="preserve"> </w:t>
      </w:r>
      <w:r w:rsidRPr="003A5013">
        <w:t xml:space="preserve">nahrazovaného zařízení a předpokládanou roční </w:t>
      </w:r>
      <w:r w:rsidR="009C510E">
        <w:t>kapacitu</w:t>
      </w:r>
      <w:r w:rsidRPr="003A5013">
        <w:t xml:space="preserve"> nového zařízení je nutné uvést v popisu stávajícího stavu předmětu energetického posudku a v doporučené variantě navrhovaného opatření.</w:t>
      </w:r>
    </w:p>
  </w:footnote>
  <w:footnote w:id="9">
    <w:p w14:paraId="270B39DC" w14:textId="5BD53276" w:rsidR="003A5013" w:rsidRDefault="003A5013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A5013">
        <w:t xml:space="preserve">Podrobný výklad je uveden v příloze číslo </w:t>
      </w:r>
      <w:r w:rsidR="00C822B0">
        <w:t xml:space="preserve">3 </w:t>
      </w:r>
      <w:r w:rsidR="007566CA">
        <w:t>Vymezení</w:t>
      </w:r>
      <w:r w:rsidRPr="003A5013">
        <w:t xml:space="preserve"> způsobilých výdajů.</w:t>
      </w:r>
    </w:p>
  </w:footnote>
  <w:footnote w:id="10">
    <w:p w14:paraId="48A2AD7E" w14:textId="5A2A76B3" w:rsidR="003A5013" w:rsidRDefault="003A5013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A5013">
        <w:t>Musí dojít k vyřazení a k poslední žádosti o platbu bude nezbytné doložit potvrzení o jeho ekologické likvidaci tak, aby nedošlo k jeho dalšímu používání vzhledem na deklarovanou roční úsporu energie. K vyřazení stroje a k jeho ekologické likvidaci může dojít nejdříve v den registrace žádosti o podporu z důvodu splnění motivačního účinku.</w:t>
      </w:r>
    </w:p>
  </w:footnote>
  <w:footnote w:id="11">
    <w:p w14:paraId="03959318" w14:textId="6F81943F" w:rsidR="003A5013" w:rsidRDefault="003A5013" w:rsidP="00D45AC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D45AC2">
        <w:t xml:space="preserve">V případě, že při realizaci projektu dojde ke změně způsobu využití budovy/stavby na podporovaný typ, lze projekt realizovat. Ke splnění této podmínky musí být před vydáním Rozhodnutí o poskytnutí dotace doloženy dokumenty, které potvrdí, že ke změně způsobu využití budovy/stavby má během realizace projektu dojít.  Následně musí být k závěrečné žádosti o platbu předloženy dokumenty, které prokážou, že ke změně způsobu využití budovy/stavby na podporovaný typ skutečně došlo.  V situaci, kdy bude k závěrečné žádosti o platbu doloženo povolení k předčasnému užívání stavby nebo rozhodnutí o povolení zkušebního provozu, ale změna způsobu využití budovy/stavby bude řešena až v rámci kolaudačního souhlasu/rozhodnutí, jež bude dokládán až v rámci udržitelnosti projektu, dle podmínky Rozhodnutí o poskytnutí dotace, je možné proplatit závěrečnou žádost o </w:t>
      </w:r>
      <w:proofErr w:type="gramStart"/>
      <w:r w:rsidR="00D45AC2">
        <w:t>platbu</w:t>
      </w:r>
      <w:r w:rsidR="004318F4">
        <w:t xml:space="preserve"> </w:t>
      </w:r>
      <w:r w:rsidR="004318F4" w:rsidRPr="004318F4">
        <w:t>,</w:t>
      </w:r>
      <w:proofErr w:type="gramEnd"/>
      <w:r w:rsidR="004318F4" w:rsidRPr="004318F4">
        <w:t xml:space="preserve"> pokud k ní budou doloženy ostatní relevantní přílohy</w:t>
      </w:r>
      <w:r w:rsidR="00D45AC2">
        <w:t>.</w:t>
      </w:r>
    </w:p>
  </w:footnote>
  <w:footnote w:id="12">
    <w:p w14:paraId="4FFC7A55" w14:textId="77777777" w:rsidR="00E15473" w:rsidRDefault="00032FC8" w:rsidP="00E1547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E15473">
        <w:t xml:space="preserve">Pokud se cíl opatření týká výroby </w:t>
      </w:r>
      <w:proofErr w:type="gramStart"/>
      <w:r w:rsidR="00E15473">
        <w:t>elektřiny,  KVET</w:t>
      </w:r>
      <w:proofErr w:type="gramEnd"/>
      <w:r w:rsidR="00E15473">
        <w:t xml:space="preserve"> nebo tepla z biomasy v souladu se směrnicí (EU) 2018/2001 a pokud má opatření v zařízení docílit alespoň 80 % úspory emisí skleníkových plynů pocházejících z používání biomasy ve vztahu k metodice úspor emisí skleníkových plynů a k referenčním fosilním palivům stanoveným v příloze VI směrnice (EU) 2018/2001.  Další informace k používání pevné biomasy jsou uvedené v příloze č.9xxx </w:t>
      </w:r>
      <w:r w:rsidR="00E15473" w:rsidRPr="00D672A2">
        <w:t xml:space="preserve">„Druhy </w:t>
      </w:r>
      <w:r w:rsidR="00E15473">
        <w:t xml:space="preserve">pevné </w:t>
      </w:r>
      <w:r w:rsidR="00E15473" w:rsidRPr="00D672A2">
        <w:t xml:space="preserve">biomasy s úsporami </w:t>
      </w:r>
      <w:r w:rsidR="00E15473">
        <w:t>skleníkových plynů“.</w:t>
      </w:r>
    </w:p>
    <w:p w14:paraId="2EB7F66C" w14:textId="23EE0019" w:rsidR="00032FC8" w:rsidRDefault="00032FC8">
      <w:pPr>
        <w:pStyle w:val="Textpoznpodarou"/>
      </w:pPr>
    </w:p>
  </w:footnote>
  <w:footnote w:id="13">
    <w:p w14:paraId="48982821" w14:textId="5BF15D2A" w:rsidR="003B3F6E" w:rsidRDefault="003B3F6E">
      <w:pPr>
        <w:pStyle w:val="Textpoznpodarou"/>
      </w:pPr>
      <w:r>
        <w:rPr>
          <w:rStyle w:val="Znakapoznpodarou"/>
        </w:rPr>
        <w:footnoteRef/>
      </w:r>
      <w:r>
        <w:t xml:space="preserve"> Žadatel zadá popis. Na základě uveden</w:t>
      </w:r>
      <w:r w:rsidR="00FC429B">
        <w:t xml:space="preserve">ého </w:t>
      </w:r>
      <w:r>
        <w:t xml:space="preserve">popisu </w:t>
      </w:r>
      <w:r w:rsidR="00FC429B">
        <w:t xml:space="preserve">se </w:t>
      </w:r>
      <w:r>
        <w:t>určí</w:t>
      </w:r>
      <w:r w:rsidR="00C15966">
        <w:t>,</w:t>
      </w:r>
      <w:r>
        <w:t xml:space="preserve"> zda je specifická podmínka splněna. Pokud je specifická podmínka nerelevantní, tak není nutné vyplňovat.</w:t>
      </w:r>
    </w:p>
  </w:footnote>
  <w:footnote w:id="14">
    <w:p w14:paraId="485534BB" w14:textId="00947FA4" w:rsidR="00D35E6C" w:rsidRDefault="00D35E6C" w:rsidP="00D35E6C">
      <w:pPr>
        <w:pStyle w:val="Textpoznpodarou"/>
      </w:pPr>
      <w:r>
        <w:rPr>
          <w:rStyle w:val="Znakapoznpodarou"/>
        </w:rPr>
        <w:footnoteRef/>
      </w:r>
      <w:hyperlink r:id="rId1" w:history="1">
        <w:r w:rsidR="003F24D8" w:rsidRPr="00805995">
          <w:rPr>
            <w:rStyle w:val="Hypertextovodkaz"/>
          </w:rPr>
          <w:t>https://opzp.cz/files/documents/storage/2022/06/27/1656330992_Metodika%20v%C3%BDpo%C4%8Dtu%20objemu%20akumula%C4%8Dn%C3%ADch%20n%C3%A1dr%C5%BE%C3%AD_OP%C5%BDP%202021-2027_sr%C3%A1%C5%BEkov%C3%BD%20norm%C3%A1l%201991-2020.pdf</w:t>
        </w:r>
      </w:hyperlink>
    </w:p>
    <w:p w14:paraId="3270BA00" w14:textId="77777777" w:rsidR="003F24D8" w:rsidRDefault="003F24D8" w:rsidP="00D35E6C">
      <w:pPr>
        <w:pStyle w:val="Textpoznpodarou"/>
      </w:pPr>
    </w:p>
  </w:footnote>
  <w:footnote w:id="15">
    <w:p w14:paraId="61E82280" w14:textId="2F719CEE" w:rsidR="003F24D8" w:rsidRDefault="00D35E6C" w:rsidP="00D35E6C">
      <w:pPr>
        <w:pStyle w:val="Textpoznpodarou"/>
      </w:pPr>
      <w:r>
        <w:rPr>
          <w:rStyle w:val="Znakapoznpodarou"/>
        </w:rPr>
        <w:footnoteRef/>
      </w:r>
      <w:hyperlink r:id="rId2" w:history="1">
        <w:r w:rsidR="003F24D8" w:rsidRPr="00805995">
          <w:rPr>
            <w:rStyle w:val="Hypertextovodkaz"/>
          </w:rPr>
          <w:t>https://opzp.cz/files/documents/storage/2023/02/01/1675238135_Metodicky_postup_problematiky_recyklace_sedych_vod_v_sidlech_CR.pdf</w:t>
        </w:r>
      </w:hyperlink>
    </w:p>
  </w:footnote>
  <w:footnote w:id="16">
    <w:p w14:paraId="1B938FFB" w14:textId="7673B515" w:rsidR="00C34269" w:rsidRDefault="00C34269" w:rsidP="003F24D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34269">
        <w:t>Extenzivní zelená střecha je typ zelené střechy se suchomilnou vegetací, která dokáže snášet náročné až extrémní podmínky z pohledu expozice a povětrnosti, nedostatek živin a vláhy. Mocnost souvrství extenzivních zelených střech se pohybuje zpravidla mezi 3–15 cm. Z rostlinných druhů převládají rozchodníky, suchomilné trávy a byliny, netřesky. Za vegetaci lze také považovat různé druhy mechů, které se v konkrétních specifických případech mohou jevit jako vhodná alternativa konvenčního ozelenění. Hlavním rysem extenzivních zelených střech je jejich odolnost vůči suchým obdobím, které je spojeno s absencí závlahové infrastruktury na střeše.</w:t>
      </w:r>
    </w:p>
  </w:footnote>
  <w:footnote w:id="17">
    <w:p w14:paraId="4E3608CC" w14:textId="08761447" w:rsidR="00C34269" w:rsidRDefault="00C342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269">
        <w:t xml:space="preserve">Intenzivní zelená střecha je typem střechy, jenž je osazena dřevinami, křovinami a travnatými plochami, tak jako v běžné zahradnické praxi a přírodních podmínkách. Rostliny dle svého typu vyžadují větší mocnost substrátu – nejméně 20 cm a výše, kromě toho je nezbytné zásobovat instalovanou zeleň doplňkovými živinami a většinou pravidelnou zálivkou. Pro </w:t>
      </w:r>
      <w:proofErr w:type="spellStart"/>
      <w:r w:rsidRPr="00C34269">
        <w:t>semi</w:t>
      </w:r>
      <w:proofErr w:type="spellEnd"/>
      <w:r w:rsidRPr="00C34269">
        <w:t>-intenzivní střechy platí podmínky jako pro střechy intenzivní.</w:t>
      </w:r>
    </w:p>
  </w:footnote>
  <w:footnote w:id="18">
    <w:p w14:paraId="19D009B9" w14:textId="0E42383E" w:rsidR="00C6012E" w:rsidRDefault="00C6012E" w:rsidP="003F24D8">
      <w:pPr>
        <w:pStyle w:val="Textpoznpodarou"/>
        <w:jc w:val="both"/>
      </w:pPr>
      <w:r w:rsidRPr="003F24D8">
        <w:footnoteRef/>
      </w:r>
      <w:r>
        <w:t xml:space="preserve"> Pokud žadatel o podporu je provozovatel, který má stacionární zařízení v České republice, která jsou součástí Evropského systému emisního obchodování („seznam EU ETS“), tak navržená opatření v rámci žádosti o podporu nejsou způsobilá k podpoře, pokud navržená </w:t>
      </w:r>
      <w:proofErr w:type="gramStart"/>
      <w:r>
        <w:t>opatření :</w:t>
      </w:r>
      <w:proofErr w:type="gramEnd"/>
    </w:p>
    <w:p w14:paraId="5D11C4B7" w14:textId="77777777" w:rsidR="00C6012E" w:rsidRDefault="00C6012E" w:rsidP="003F24D8">
      <w:pPr>
        <w:pStyle w:val="Textpoznpodarou"/>
        <w:jc w:val="both"/>
      </w:pPr>
      <w:r>
        <w:t>jsou realizována na stejné adrese, kde je provozováno zařízení v seznamu EU ETS</w:t>
      </w:r>
    </w:p>
    <w:p w14:paraId="1369525A" w14:textId="1D7454BB" w:rsidR="00C6012E" w:rsidRDefault="00C6012E" w:rsidP="003F24D8">
      <w:pPr>
        <w:pStyle w:val="Textpoznpodarou"/>
        <w:jc w:val="both"/>
      </w:pPr>
      <w:r>
        <w:t>jsou realizována na jiné adrese, než je provozováno zařízení v seznamu EU ETS, ale žadatel provozuje i na této adrese stejnou činnost (bez ohledu na limit příkonu</w:t>
      </w:r>
      <w:r w:rsidR="003567FC">
        <w:t xml:space="preserve"> energie</w:t>
      </w:r>
      <w:r>
        <w:t xml:space="preserve"> či kapacity pokud předmětné k dané činnosti), která by mohla přímo či nepřímo ovlivnit zařízení nebo činnosti z</w:t>
      </w:r>
      <w:r w:rsidR="00110163">
        <w:t> </w:t>
      </w:r>
      <w:r>
        <w:t>Rozhodnutí</w:t>
      </w:r>
      <w:r w:rsidR="00110163">
        <w:t xml:space="preserve"> Ministerstva životního prostředí o povolení k emisím skleníkových plynů a o stanovení podmínek k jejich zjišťování, zveřejňování a vykazování a Ročním plánu pro monitorování emisí (dále jen „Rozhodnutí“)</w:t>
      </w:r>
      <w:r>
        <w:t xml:space="preserve"> (</w:t>
      </w:r>
      <w:r w:rsidRPr="00C6012E">
        <w:t>Typickým příkladem může být výroba produktů a i jen potenciální přesun výroby mezi podniky, kde jeden podnik má evidované zařízení v Rozhodnutí a druhý podnik, který žádá o podporu, v daném Rozhodnutí není evidován.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B1B4" w14:textId="3C23D8BE" w:rsidR="00677FE0" w:rsidRDefault="007E21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63ED50D" wp14:editId="126A0AAB">
          <wp:simplePos x="0" y="0"/>
          <wp:positionH relativeFrom="margin">
            <wp:posOffset>-6985</wp:posOffset>
          </wp:positionH>
          <wp:positionV relativeFrom="page">
            <wp:posOffset>198565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8578FC"/>
    <w:multiLevelType w:val="hybridMultilevel"/>
    <w:tmpl w:val="3B6019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173147"/>
    <w:multiLevelType w:val="hybridMultilevel"/>
    <w:tmpl w:val="0C07D0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C10B4B"/>
    <w:multiLevelType w:val="hybridMultilevel"/>
    <w:tmpl w:val="98A689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30D634"/>
    <w:multiLevelType w:val="hybridMultilevel"/>
    <w:tmpl w:val="B837DF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E8D3580"/>
    <w:multiLevelType w:val="hybridMultilevel"/>
    <w:tmpl w:val="3EFD59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600F7"/>
    <w:multiLevelType w:val="hybridMultilevel"/>
    <w:tmpl w:val="6658BA6A"/>
    <w:lvl w:ilvl="0" w:tplc="E65C0E2C">
      <w:start w:val="3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8C23B5"/>
    <w:multiLevelType w:val="multilevel"/>
    <w:tmpl w:val="E8A48D7C"/>
    <w:numStyleLink w:val="VariantaA-sla"/>
  </w:abstractNum>
  <w:abstractNum w:abstractNumId="12" w15:restartNumberingAfterBreak="0">
    <w:nsid w:val="02E83A8B"/>
    <w:multiLevelType w:val="multilevel"/>
    <w:tmpl w:val="E8BAE50A"/>
    <w:numStyleLink w:val="VariantaA-odrky"/>
  </w:abstractNum>
  <w:abstractNum w:abstractNumId="13" w15:restartNumberingAfterBreak="0">
    <w:nsid w:val="03B02A2E"/>
    <w:multiLevelType w:val="hybridMultilevel"/>
    <w:tmpl w:val="B66AB3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02680D"/>
    <w:multiLevelType w:val="multilevel"/>
    <w:tmpl w:val="E8BAE50A"/>
    <w:numStyleLink w:val="VariantaA-odrky"/>
  </w:abstractNum>
  <w:abstractNum w:abstractNumId="15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6" w15:restartNumberingAfterBreak="0">
    <w:nsid w:val="0464212C"/>
    <w:multiLevelType w:val="hybridMultilevel"/>
    <w:tmpl w:val="95961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79347F"/>
    <w:multiLevelType w:val="multilevel"/>
    <w:tmpl w:val="3320A8B2"/>
    <w:numStyleLink w:val="VariantaB-odrky"/>
  </w:abstractNum>
  <w:abstractNum w:abstractNumId="18" w15:restartNumberingAfterBreak="0">
    <w:nsid w:val="04D643EE"/>
    <w:multiLevelType w:val="multilevel"/>
    <w:tmpl w:val="E8A48D7C"/>
    <w:numStyleLink w:val="VariantaA-sla"/>
  </w:abstractNum>
  <w:abstractNum w:abstractNumId="19" w15:restartNumberingAfterBreak="0">
    <w:nsid w:val="057C1556"/>
    <w:multiLevelType w:val="hybridMultilevel"/>
    <w:tmpl w:val="EF147C4A"/>
    <w:lvl w:ilvl="0" w:tplc="2BEEC8DA">
      <w:numFmt w:val="bullet"/>
      <w:lvlText w:val="-"/>
      <w:lvlJc w:val="left"/>
      <w:pPr>
        <w:ind w:left="38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0" w15:restartNumberingAfterBreak="0">
    <w:nsid w:val="060AAF7F"/>
    <w:multiLevelType w:val="hybridMultilevel"/>
    <w:tmpl w:val="46101CF5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6563C30"/>
    <w:multiLevelType w:val="hybridMultilevel"/>
    <w:tmpl w:val="5FDCD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C82E7F"/>
    <w:multiLevelType w:val="hybridMultilevel"/>
    <w:tmpl w:val="89286B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1631C5"/>
    <w:multiLevelType w:val="hybridMultilevel"/>
    <w:tmpl w:val="363053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BDD4BBA"/>
    <w:multiLevelType w:val="multilevel"/>
    <w:tmpl w:val="E8BAE50A"/>
    <w:numStyleLink w:val="VariantaA-odrky"/>
  </w:abstractNum>
  <w:abstractNum w:abstractNumId="25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11BC023C"/>
    <w:multiLevelType w:val="hybridMultilevel"/>
    <w:tmpl w:val="DE2CD10A"/>
    <w:lvl w:ilvl="0" w:tplc="AD2C1EFC">
      <w:start w:val="3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E33920"/>
    <w:multiLevelType w:val="hybridMultilevel"/>
    <w:tmpl w:val="71404288"/>
    <w:lvl w:ilvl="0" w:tplc="AD2C1EFC">
      <w:start w:val="3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316F8"/>
    <w:multiLevelType w:val="multilevel"/>
    <w:tmpl w:val="3320A8B2"/>
    <w:numStyleLink w:val="VariantaB-odrky"/>
  </w:abstractNum>
  <w:abstractNum w:abstractNumId="29" w15:restartNumberingAfterBreak="0">
    <w:nsid w:val="13FB2F1F"/>
    <w:multiLevelType w:val="multilevel"/>
    <w:tmpl w:val="E8BAE50A"/>
    <w:numStyleLink w:val="VariantaA-odrky"/>
  </w:abstractNum>
  <w:abstractNum w:abstractNumId="30" w15:restartNumberingAfterBreak="0">
    <w:nsid w:val="15587B24"/>
    <w:multiLevelType w:val="multilevel"/>
    <w:tmpl w:val="E8BAE50A"/>
    <w:numStyleLink w:val="VariantaA-odrky"/>
  </w:abstractNum>
  <w:abstractNum w:abstractNumId="31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32" w15:restartNumberingAfterBreak="0">
    <w:nsid w:val="191872DA"/>
    <w:multiLevelType w:val="multilevel"/>
    <w:tmpl w:val="E8A48D7C"/>
    <w:numStyleLink w:val="VariantaA-sla"/>
  </w:abstractNum>
  <w:abstractNum w:abstractNumId="33" w15:restartNumberingAfterBreak="0">
    <w:nsid w:val="19987FCF"/>
    <w:multiLevelType w:val="multilevel"/>
    <w:tmpl w:val="0D8ABE32"/>
    <w:numStyleLink w:val="VariantaB-sla"/>
  </w:abstractNum>
  <w:abstractNum w:abstractNumId="34" w15:restartNumberingAfterBreak="0">
    <w:nsid w:val="1C854113"/>
    <w:multiLevelType w:val="hybridMultilevel"/>
    <w:tmpl w:val="80522A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3068A6"/>
    <w:multiLevelType w:val="multilevel"/>
    <w:tmpl w:val="3320A8B2"/>
    <w:numStyleLink w:val="VariantaB-odrky"/>
  </w:abstractNum>
  <w:abstractNum w:abstractNumId="36" w15:restartNumberingAfterBreak="0">
    <w:nsid w:val="1D464EC2"/>
    <w:multiLevelType w:val="multilevel"/>
    <w:tmpl w:val="E8BAE50A"/>
    <w:numStyleLink w:val="VariantaA-odrky"/>
  </w:abstractNum>
  <w:abstractNum w:abstractNumId="37" w15:restartNumberingAfterBreak="0">
    <w:nsid w:val="1D86602C"/>
    <w:multiLevelType w:val="hybridMultilevel"/>
    <w:tmpl w:val="2F80B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AB39CE"/>
    <w:multiLevelType w:val="multilevel"/>
    <w:tmpl w:val="E8BAE50A"/>
    <w:numStyleLink w:val="VariantaA-odrky"/>
  </w:abstractNum>
  <w:abstractNum w:abstractNumId="39" w15:restartNumberingAfterBreak="0">
    <w:nsid w:val="1F57773D"/>
    <w:multiLevelType w:val="hybridMultilevel"/>
    <w:tmpl w:val="8F147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9A5EA2"/>
    <w:multiLevelType w:val="multilevel"/>
    <w:tmpl w:val="E8BAE50A"/>
    <w:numStyleLink w:val="VariantaA-odrky"/>
  </w:abstractNum>
  <w:abstractNum w:abstractNumId="41" w15:restartNumberingAfterBreak="0">
    <w:nsid w:val="28AB573E"/>
    <w:multiLevelType w:val="multilevel"/>
    <w:tmpl w:val="3320A8B2"/>
    <w:numStyleLink w:val="VariantaB-odrky"/>
  </w:abstractNum>
  <w:abstractNum w:abstractNumId="42" w15:restartNumberingAfterBreak="0">
    <w:nsid w:val="2A5F2D39"/>
    <w:multiLevelType w:val="multilevel"/>
    <w:tmpl w:val="E8BAE50A"/>
    <w:numStyleLink w:val="VariantaA-odrky"/>
  </w:abstractNum>
  <w:abstractNum w:abstractNumId="43" w15:restartNumberingAfterBreak="0">
    <w:nsid w:val="2DBB2CE6"/>
    <w:multiLevelType w:val="multilevel"/>
    <w:tmpl w:val="E8BAE50A"/>
    <w:numStyleLink w:val="VariantaA-odrky"/>
  </w:abstractNum>
  <w:abstractNum w:abstractNumId="44" w15:restartNumberingAfterBreak="0">
    <w:nsid w:val="355131EF"/>
    <w:multiLevelType w:val="multilevel"/>
    <w:tmpl w:val="E8A48D7C"/>
    <w:numStyleLink w:val="VariantaA-sla"/>
  </w:abstractNum>
  <w:abstractNum w:abstractNumId="45" w15:restartNumberingAfterBreak="0">
    <w:nsid w:val="38D4669A"/>
    <w:multiLevelType w:val="hybridMultilevel"/>
    <w:tmpl w:val="D2746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E95FDE"/>
    <w:multiLevelType w:val="hybridMultilevel"/>
    <w:tmpl w:val="7B54D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4131AD"/>
    <w:multiLevelType w:val="hybridMultilevel"/>
    <w:tmpl w:val="0E5AE6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AD4172"/>
    <w:multiLevelType w:val="hybridMultilevel"/>
    <w:tmpl w:val="F93AC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F075BB"/>
    <w:multiLevelType w:val="hybridMultilevel"/>
    <w:tmpl w:val="A920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C770CF"/>
    <w:multiLevelType w:val="hybridMultilevel"/>
    <w:tmpl w:val="F7F4D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686E"/>
    <w:multiLevelType w:val="hybridMultilevel"/>
    <w:tmpl w:val="1C58B5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9E5210B"/>
    <w:multiLevelType w:val="hybridMultilevel"/>
    <w:tmpl w:val="743DFC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4A306389"/>
    <w:multiLevelType w:val="multilevel"/>
    <w:tmpl w:val="E8BAE50A"/>
    <w:numStyleLink w:val="VariantaA-odrky"/>
  </w:abstractNum>
  <w:abstractNum w:abstractNumId="54" w15:restartNumberingAfterBreak="0">
    <w:nsid w:val="4B110E16"/>
    <w:multiLevelType w:val="hybridMultilevel"/>
    <w:tmpl w:val="254E84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BED124C"/>
    <w:multiLevelType w:val="hybridMultilevel"/>
    <w:tmpl w:val="B40D4E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50B1F251"/>
    <w:multiLevelType w:val="hybridMultilevel"/>
    <w:tmpl w:val="A366B5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51EE5A3A"/>
    <w:multiLevelType w:val="hybridMultilevel"/>
    <w:tmpl w:val="88EEB2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0064AA"/>
    <w:multiLevelType w:val="hybridMultilevel"/>
    <w:tmpl w:val="9D5A11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52EEE7C3"/>
    <w:multiLevelType w:val="hybridMultilevel"/>
    <w:tmpl w:val="7DC272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53290926"/>
    <w:multiLevelType w:val="multilevel"/>
    <w:tmpl w:val="E8BAE50A"/>
    <w:numStyleLink w:val="VariantaA-odrky"/>
  </w:abstractNum>
  <w:abstractNum w:abstractNumId="62" w15:restartNumberingAfterBreak="0">
    <w:nsid w:val="533902EA"/>
    <w:multiLevelType w:val="multilevel"/>
    <w:tmpl w:val="E8BAE50A"/>
    <w:numStyleLink w:val="VariantaA-odrky"/>
  </w:abstractNum>
  <w:abstractNum w:abstractNumId="63" w15:restartNumberingAfterBreak="0">
    <w:nsid w:val="55B42E54"/>
    <w:multiLevelType w:val="hybridMultilevel"/>
    <w:tmpl w:val="071680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571C11E2"/>
    <w:multiLevelType w:val="multilevel"/>
    <w:tmpl w:val="E8A48D7C"/>
    <w:numStyleLink w:val="VariantaA-sla"/>
  </w:abstractNum>
  <w:abstractNum w:abstractNumId="65" w15:restartNumberingAfterBreak="0">
    <w:nsid w:val="575F1D10"/>
    <w:multiLevelType w:val="hybridMultilevel"/>
    <w:tmpl w:val="F5984994"/>
    <w:lvl w:ilvl="0" w:tplc="5D8E9C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6" w15:restartNumberingAfterBreak="0">
    <w:nsid w:val="584A6414"/>
    <w:multiLevelType w:val="hybridMultilevel"/>
    <w:tmpl w:val="B606B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68" w15:restartNumberingAfterBreak="0">
    <w:nsid w:val="5A56519F"/>
    <w:multiLevelType w:val="hybridMultilevel"/>
    <w:tmpl w:val="052EE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F35F43"/>
    <w:multiLevelType w:val="multilevel"/>
    <w:tmpl w:val="0D8ABE32"/>
    <w:numStyleLink w:val="VariantaB-sla"/>
  </w:abstractNum>
  <w:abstractNum w:abstractNumId="70" w15:restartNumberingAfterBreak="0">
    <w:nsid w:val="61FB3109"/>
    <w:multiLevelType w:val="hybridMultilevel"/>
    <w:tmpl w:val="CB644E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698EA872"/>
    <w:multiLevelType w:val="hybridMultilevel"/>
    <w:tmpl w:val="DC3E910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6AF8067A"/>
    <w:multiLevelType w:val="hybridMultilevel"/>
    <w:tmpl w:val="8CA296A4"/>
    <w:lvl w:ilvl="0" w:tplc="D5304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21F99C"/>
    <w:multiLevelType w:val="hybridMultilevel"/>
    <w:tmpl w:val="338DE2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 w15:restartNumberingAfterBreak="0">
    <w:nsid w:val="723233E3"/>
    <w:multiLevelType w:val="hybridMultilevel"/>
    <w:tmpl w:val="2620E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ED015A"/>
    <w:multiLevelType w:val="hybridMultilevel"/>
    <w:tmpl w:val="013247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69F796F"/>
    <w:multiLevelType w:val="hybridMultilevel"/>
    <w:tmpl w:val="B128FC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96AA6D4"/>
    <w:multiLevelType w:val="hybridMultilevel"/>
    <w:tmpl w:val="4F28F4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7CD320A1"/>
    <w:multiLevelType w:val="hybridMultilevel"/>
    <w:tmpl w:val="099716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1"/>
  </w:num>
  <w:num w:numId="2">
    <w:abstractNumId w:val="67"/>
  </w:num>
  <w:num w:numId="3">
    <w:abstractNumId w:val="35"/>
  </w:num>
  <w:num w:numId="4">
    <w:abstractNumId w:val="29"/>
  </w:num>
  <w:num w:numId="5">
    <w:abstractNumId w:val="11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56"/>
  </w:num>
  <w:num w:numId="7">
    <w:abstractNumId w:val="14"/>
  </w:num>
  <w:num w:numId="8">
    <w:abstractNumId w:val="64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62"/>
  </w:num>
  <w:num w:numId="14">
    <w:abstractNumId w:val="9"/>
  </w:num>
  <w:num w:numId="15">
    <w:abstractNumId w:val="8"/>
  </w:num>
  <w:num w:numId="16">
    <w:abstractNumId w:val="56"/>
  </w:num>
  <w:num w:numId="17">
    <w:abstractNumId w:val="36"/>
  </w:num>
  <w:num w:numId="18">
    <w:abstractNumId w:val="12"/>
  </w:num>
  <w:num w:numId="19">
    <w:abstractNumId w:val="25"/>
  </w:num>
  <w:num w:numId="20">
    <w:abstractNumId w:val="15"/>
  </w:num>
  <w:num w:numId="21">
    <w:abstractNumId w:val="44"/>
  </w:num>
  <w:num w:numId="22">
    <w:abstractNumId w:val="18"/>
  </w:num>
  <w:num w:numId="23">
    <w:abstractNumId w:val="38"/>
  </w:num>
  <w:num w:numId="24">
    <w:abstractNumId w:val="24"/>
  </w:num>
  <w:num w:numId="25">
    <w:abstractNumId w:val="30"/>
  </w:num>
  <w:num w:numId="26">
    <w:abstractNumId w:val="53"/>
  </w:num>
  <w:num w:numId="27">
    <w:abstractNumId w:val="43"/>
  </w:num>
  <w:num w:numId="28">
    <w:abstractNumId w:val="42"/>
  </w:num>
  <w:num w:numId="29">
    <w:abstractNumId w:val="33"/>
  </w:num>
  <w:num w:numId="30">
    <w:abstractNumId w:val="61"/>
  </w:num>
  <w:num w:numId="31">
    <w:abstractNumId w:val="69"/>
  </w:num>
  <w:num w:numId="32">
    <w:abstractNumId w:val="40"/>
  </w:num>
  <w:num w:numId="33">
    <w:abstractNumId w:val="32"/>
  </w:num>
  <w:num w:numId="34">
    <w:abstractNumId w:val="17"/>
  </w:num>
  <w:num w:numId="35">
    <w:abstractNumId w:val="41"/>
  </w:num>
  <w:num w:numId="36">
    <w:abstractNumId w:val="28"/>
  </w:num>
  <w:num w:numId="37">
    <w:abstractNumId w:val="16"/>
  </w:num>
  <w:num w:numId="38">
    <w:abstractNumId w:val="49"/>
  </w:num>
  <w:num w:numId="39">
    <w:abstractNumId w:val="72"/>
  </w:num>
  <w:num w:numId="40">
    <w:abstractNumId w:val="39"/>
  </w:num>
  <w:num w:numId="41">
    <w:abstractNumId w:val="45"/>
  </w:num>
  <w:num w:numId="42">
    <w:abstractNumId w:val="74"/>
  </w:num>
  <w:num w:numId="43">
    <w:abstractNumId w:val="37"/>
  </w:num>
  <w:num w:numId="44">
    <w:abstractNumId w:val="77"/>
  </w:num>
  <w:num w:numId="45">
    <w:abstractNumId w:val="78"/>
  </w:num>
  <w:num w:numId="46">
    <w:abstractNumId w:val="59"/>
  </w:num>
  <w:num w:numId="47">
    <w:abstractNumId w:val="73"/>
  </w:num>
  <w:num w:numId="48">
    <w:abstractNumId w:val="4"/>
  </w:num>
  <w:num w:numId="49">
    <w:abstractNumId w:val="2"/>
  </w:num>
  <w:num w:numId="50">
    <w:abstractNumId w:val="55"/>
  </w:num>
  <w:num w:numId="51">
    <w:abstractNumId w:val="3"/>
  </w:num>
  <w:num w:numId="52">
    <w:abstractNumId w:val="52"/>
  </w:num>
  <w:num w:numId="53">
    <w:abstractNumId w:val="60"/>
  </w:num>
  <w:num w:numId="54">
    <w:abstractNumId w:val="68"/>
  </w:num>
  <w:num w:numId="55">
    <w:abstractNumId w:val="0"/>
  </w:num>
  <w:num w:numId="56">
    <w:abstractNumId w:val="1"/>
  </w:num>
  <w:num w:numId="57">
    <w:abstractNumId w:val="13"/>
  </w:num>
  <w:num w:numId="58">
    <w:abstractNumId w:val="26"/>
  </w:num>
  <w:num w:numId="59">
    <w:abstractNumId w:val="63"/>
  </w:num>
  <w:num w:numId="60">
    <w:abstractNumId w:val="57"/>
  </w:num>
  <w:num w:numId="61">
    <w:abstractNumId w:val="27"/>
  </w:num>
  <w:num w:numId="62">
    <w:abstractNumId w:val="10"/>
  </w:num>
  <w:num w:numId="63">
    <w:abstractNumId w:val="58"/>
  </w:num>
  <w:num w:numId="64">
    <w:abstractNumId w:val="19"/>
  </w:num>
  <w:num w:numId="65">
    <w:abstractNumId w:val="66"/>
  </w:num>
  <w:num w:numId="66">
    <w:abstractNumId w:val="20"/>
  </w:num>
  <w:num w:numId="67">
    <w:abstractNumId w:val="47"/>
  </w:num>
  <w:num w:numId="68">
    <w:abstractNumId w:val="71"/>
  </w:num>
  <w:num w:numId="69">
    <w:abstractNumId w:val="21"/>
  </w:num>
  <w:num w:numId="70">
    <w:abstractNumId w:val="48"/>
  </w:num>
  <w:num w:numId="71">
    <w:abstractNumId w:val="34"/>
  </w:num>
  <w:num w:numId="72">
    <w:abstractNumId w:val="50"/>
  </w:num>
  <w:num w:numId="73">
    <w:abstractNumId w:val="54"/>
  </w:num>
  <w:num w:numId="74">
    <w:abstractNumId w:val="22"/>
  </w:num>
  <w:num w:numId="75">
    <w:abstractNumId w:val="23"/>
  </w:num>
  <w:num w:numId="76">
    <w:abstractNumId w:val="46"/>
  </w:num>
  <w:num w:numId="77">
    <w:abstractNumId w:val="65"/>
  </w:num>
  <w:num w:numId="78">
    <w:abstractNumId w:val="76"/>
  </w:num>
  <w:num w:numId="79">
    <w:abstractNumId w:val="51"/>
  </w:num>
  <w:num w:numId="80">
    <w:abstractNumId w:val="70"/>
  </w:num>
  <w:num w:numId="81">
    <w:abstractNumId w:val="7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DB"/>
    <w:rsid w:val="000113AC"/>
    <w:rsid w:val="00015306"/>
    <w:rsid w:val="00023902"/>
    <w:rsid w:val="0002674B"/>
    <w:rsid w:val="000308B3"/>
    <w:rsid w:val="000315CE"/>
    <w:rsid w:val="00032FC8"/>
    <w:rsid w:val="00036CC4"/>
    <w:rsid w:val="0004162E"/>
    <w:rsid w:val="0004786B"/>
    <w:rsid w:val="00055201"/>
    <w:rsid w:val="00055BEA"/>
    <w:rsid w:val="00062EEE"/>
    <w:rsid w:val="00063405"/>
    <w:rsid w:val="00063F27"/>
    <w:rsid w:val="00065493"/>
    <w:rsid w:val="000716A2"/>
    <w:rsid w:val="000771B2"/>
    <w:rsid w:val="000809B9"/>
    <w:rsid w:val="000828F2"/>
    <w:rsid w:val="00090B40"/>
    <w:rsid w:val="000925B9"/>
    <w:rsid w:val="00095A0A"/>
    <w:rsid w:val="000A4E6E"/>
    <w:rsid w:val="000A693A"/>
    <w:rsid w:val="000B1B3D"/>
    <w:rsid w:val="000B7887"/>
    <w:rsid w:val="000C4CAF"/>
    <w:rsid w:val="000E1653"/>
    <w:rsid w:val="000F2BA5"/>
    <w:rsid w:val="00100182"/>
    <w:rsid w:val="0010293E"/>
    <w:rsid w:val="0010742F"/>
    <w:rsid w:val="00110163"/>
    <w:rsid w:val="00121485"/>
    <w:rsid w:val="00123132"/>
    <w:rsid w:val="00125F56"/>
    <w:rsid w:val="001268B0"/>
    <w:rsid w:val="001376FC"/>
    <w:rsid w:val="00140C46"/>
    <w:rsid w:val="00150C99"/>
    <w:rsid w:val="0015202C"/>
    <w:rsid w:val="001533D6"/>
    <w:rsid w:val="0016406A"/>
    <w:rsid w:val="001729C1"/>
    <w:rsid w:val="00175860"/>
    <w:rsid w:val="0018051B"/>
    <w:rsid w:val="001811EB"/>
    <w:rsid w:val="00182050"/>
    <w:rsid w:val="001826ED"/>
    <w:rsid w:val="001853E6"/>
    <w:rsid w:val="0019025A"/>
    <w:rsid w:val="00193370"/>
    <w:rsid w:val="001B1E4A"/>
    <w:rsid w:val="001C0F10"/>
    <w:rsid w:val="001C123F"/>
    <w:rsid w:val="001C762F"/>
    <w:rsid w:val="001C78C8"/>
    <w:rsid w:val="001D27C0"/>
    <w:rsid w:val="001E74C3"/>
    <w:rsid w:val="001F6937"/>
    <w:rsid w:val="00203D33"/>
    <w:rsid w:val="00220DE3"/>
    <w:rsid w:val="00222891"/>
    <w:rsid w:val="00234974"/>
    <w:rsid w:val="00243BA2"/>
    <w:rsid w:val="0025290D"/>
    <w:rsid w:val="00255278"/>
    <w:rsid w:val="00260372"/>
    <w:rsid w:val="00262DAF"/>
    <w:rsid w:val="00280AFB"/>
    <w:rsid w:val="00281420"/>
    <w:rsid w:val="00282856"/>
    <w:rsid w:val="00285AED"/>
    <w:rsid w:val="002B4B05"/>
    <w:rsid w:val="002B7FF6"/>
    <w:rsid w:val="002C1693"/>
    <w:rsid w:val="002D1DF6"/>
    <w:rsid w:val="002E1BE5"/>
    <w:rsid w:val="002E2442"/>
    <w:rsid w:val="002E3E8A"/>
    <w:rsid w:val="002E47FE"/>
    <w:rsid w:val="002F0418"/>
    <w:rsid w:val="002F0E8C"/>
    <w:rsid w:val="00310FA0"/>
    <w:rsid w:val="00315C10"/>
    <w:rsid w:val="0031646B"/>
    <w:rsid w:val="00320481"/>
    <w:rsid w:val="003250CB"/>
    <w:rsid w:val="003319BB"/>
    <w:rsid w:val="00333B41"/>
    <w:rsid w:val="00344153"/>
    <w:rsid w:val="003451CE"/>
    <w:rsid w:val="00347398"/>
    <w:rsid w:val="003567FC"/>
    <w:rsid w:val="00363201"/>
    <w:rsid w:val="0037314B"/>
    <w:rsid w:val="00380143"/>
    <w:rsid w:val="00381A13"/>
    <w:rsid w:val="0039063C"/>
    <w:rsid w:val="003A46A8"/>
    <w:rsid w:val="003A5013"/>
    <w:rsid w:val="003A51AA"/>
    <w:rsid w:val="003B3F6E"/>
    <w:rsid w:val="003B565A"/>
    <w:rsid w:val="003C10BE"/>
    <w:rsid w:val="003D00A1"/>
    <w:rsid w:val="003F24D8"/>
    <w:rsid w:val="00403D6F"/>
    <w:rsid w:val="004130B2"/>
    <w:rsid w:val="0041427F"/>
    <w:rsid w:val="00425395"/>
    <w:rsid w:val="00430FF4"/>
    <w:rsid w:val="004318F4"/>
    <w:rsid w:val="004509E5"/>
    <w:rsid w:val="00453D85"/>
    <w:rsid w:val="004631EE"/>
    <w:rsid w:val="004635E5"/>
    <w:rsid w:val="00463B6B"/>
    <w:rsid w:val="00465EAF"/>
    <w:rsid w:val="004842DF"/>
    <w:rsid w:val="00486FB9"/>
    <w:rsid w:val="004957B5"/>
    <w:rsid w:val="004B6427"/>
    <w:rsid w:val="004C212A"/>
    <w:rsid w:val="004C2CEE"/>
    <w:rsid w:val="004D08F5"/>
    <w:rsid w:val="00500232"/>
    <w:rsid w:val="00504668"/>
    <w:rsid w:val="00511BDF"/>
    <w:rsid w:val="00512A50"/>
    <w:rsid w:val="005455E1"/>
    <w:rsid w:val="005502BD"/>
    <w:rsid w:val="00552BC1"/>
    <w:rsid w:val="00553094"/>
    <w:rsid w:val="005555D1"/>
    <w:rsid w:val="00556787"/>
    <w:rsid w:val="00582276"/>
    <w:rsid w:val="005923B9"/>
    <w:rsid w:val="00594E8D"/>
    <w:rsid w:val="005A19BD"/>
    <w:rsid w:val="005A6E71"/>
    <w:rsid w:val="005B0136"/>
    <w:rsid w:val="005B062D"/>
    <w:rsid w:val="005B7CC8"/>
    <w:rsid w:val="005C2560"/>
    <w:rsid w:val="005C5480"/>
    <w:rsid w:val="005D45AF"/>
    <w:rsid w:val="005D62C2"/>
    <w:rsid w:val="005E5696"/>
    <w:rsid w:val="005F0530"/>
    <w:rsid w:val="005F242A"/>
    <w:rsid w:val="005F69D0"/>
    <w:rsid w:val="005F7585"/>
    <w:rsid w:val="00604CF3"/>
    <w:rsid w:val="00605759"/>
    <w:rsid w:val="006103EF"/>
    <w:rsid w:val="0061343A"/>
    <w:rsid w:val="00630F96"/>
    <w:rsid w:val="00633D02"/>
    <w:rsid w:val="006361DB"/>
    <w:rsid w:val="00637B22"/>
    <w:rsid w:val="00650759"/>
    <w:rsid w:val="00650C6C"/>
    <w:rsid w:val="00652FE6"/>
    <w:rsid w:val="0065680D"/>
    <w:rsid w:val="00663626"/>
    <w:rsid w:val="0066607C"/>
    <w:rsid w:val="00667898"/>
    <w:rsid w:val="00677FE0"/>
    <w:rsid w:val="0069394F"/>
    <w:rsid w:val="0069643A"/>
    <w:rsid w:val="00697E9A"/>
    <w:rsid w:val="006A3D01"/>
    <w:rsid w:val="006B32C8"/>
    <w:rsid w:val="006C40B6"/>
    <w:rsid w:val="006C45C2"/>
    <w:rsid w:val="006D04EF"/>
    <w:rsid w:val="006D6BB1"/>
    <w:rsid w:val="006E2FB0"/>
    <w:rsid w:val="00703A10"/>
    <w:rsid w:val="007102D2"/>
    <w:rsid w:val="007134A2"/>
    <w:rsid w:val="00713948"/>
    <w:rsid w:val="00720056"/>
    <w:rsid w:val="007441C2"/>
    <w:rsid w:val="00753A27"/>
    <w:rsid w:val="007566CA"/>
    <w:rsid w:val="00757D8A"/>
    <w:rsid w:val="00782A3F"/>
    <w:rsid w:val="0079342A"/>
    <w:rsid w:val="00797E9B"/>
    <w:rsid w:val="007B4949"/>
    <w:rsid w:val="007E2162"/>
    <w:rsid w:val="007F0BC6"/>
    <w:rsid w:val="008119A6"/>
    <w:rsid w:val="00811C92"/>
    <w:rsid w:val="00831374"/>
    <w:rsid w:val="0084574F"/>
    <w:rsid w:val="00857580"/>
    <w:rsid w:val="008604A7"/>
    <w:rsid w:val="00861087"/>
    <w:rsid w:val="00865238"/>
    <w:rsid w:val="00865D37"/>
    <w:rsid w:val="008667BF"/>
    <w:rsid w:val="00892E02"/>
    <w:rsid w:val="008953A0"/>
    <w:rsid w:val="00895645"/>
    <w:rsid w:val="008968F5"/>
    <w:rsid w:val="008A7851"/>
    <w:rsid w:val="008C3782"/>
    <w:rsid w:val="008C5BAD"/>
    <w:rsid w:val="008D4A32"/>
    <w:rsid w:val="008D593A"/>
    <w:rsid w:val="008E1AFF"/>
    <w:rsid w:val="008E6F42"/>
    <w:rsid w:val="008E7760"/>
    <w:rsid w:val="008F0B50"/>
    <w:rsid w:val="008F489E"/>
    <w:rsid w:val="00900166"/>
    <w:rsid w:val="0091520F"/>
    <w:rsid w:val="00922001"/>
    <w:rsid w:val="00922281"/>
    <w:rsid w:val="00922C17"/>
    <w:rsid w:val="009360F3"/>
    <w:rsid w:val="00941007"/>
    <w:rsid w:val="00942DDD"/>
    <w:rsid w:val="009516A8"/>
    <w:rsid w:val="00973D70"/>
    <w:rsid w:val="009740F7"/>
    <w:rsid w:val="0097705C"/>
    <w:rsid w:val="00982D83"/>
    <w:rsid w:val="00991F93"/>
    <w:rsid w:val="009A369E"/>
    <w:rsid w:val="009C2B8F"/>
    <w:rsid w:val="009C510E"/>
    <w:rsid w:val="009D412A"/>
    <w:rsid w:val="009F2906"/>
    <w:rsid w:val="009F393D"/>
    <w:rsid w:val="009F7F46"/>
    <w:rsid w:val="00A000BF"/>
    <w:rsid w:val="00A0587E"/>
    <w:rsid w:val="00A101DA"/>
    <w:rsid w:val="00A10CEF"/>
    <w:rsid w:val="00A131A3"/>
    <w:rsid w:val="00A275BC"/>
    <w:rsid w:val="00A42B60"/>
    <w:rsid w:val="00A464B4"/>
    <w:rsid w:val="00A63D6B"/>
    <w:rsid w:val="00A739F6"/>
    <w:rsid w:val="00A84B52"/>
    <w:rsid w:val="00A8660F"/>
    <w:rsid w:val="00A95C48"/>
    <w:rsid w:val="00AA7056"/>
    <w:rsid w:val="00AB2FCC"/>
    <w:rsid w:val="00AB31C6"/>
    <w:rsid w:val="00AB523B"/>
    <w:rsid w:val="00AC7380"/>
    <w:rsid w:val="00AC79CE"/>
    <w:rsid w:val="00AD21C3"/>
    <w:rsid w:val="00AD2753"/>
    <w:rsid w:val="00AD7E40"/>
    <w:rsid w:val="00AE5D35"/>
    <w:rsid w:val="00AF33FB"/>
    <w:rsid w:val="00AF683D"/>
    <w:rsid w:val="00B02390"/>
    <w:rsid w:val="00B07734"/>
    <w:rsid w:val="00B1477A"/>
    <w:rsid w:val="00B16B6A"/>
    <w:rsid w:val="00B20993"/>
    <w:rsid w:val="00B21435"/>
    <w:rsid w:val="00B2363B"/>
    <w:rsid w:val="00B238C5"/>
    <w:rsid w:val="00B35DC1"/>
    <w:rsid w:val="00B42E96"/>
    <w:rsid w:val="00B50EE6"/>
    <w:rsid w:val="00B52185"/>
    <w:rsid w:val="00B60DCB"/>
    <w:rsid w:val="00B61967"/>
    <w:rsid w:val="00B861E9"/>
    <w:rsid w:val="00B9753A"/>
    <w:rsid w:val="00BA518B"/>
    <w:rsid w:val="00BB07CC"/>
    <w:rsid w:val="00BB479C"/>
    <w:rsid w:val="00BC3023"/>
    <w:rsid w:val="00BC4720"/>
    <w:rsid w:val="00BD5830"/>
    <w:rsid w:val="00BD75A2"/>
    <w:rsid w:val="00BF0493"/>
    <w:rsid w:val="00BF0D85"/>
    <w:rsid w:val="00C05462"/>
    <w:rsid w:val="00C10E3F"/>
    <w:rsid w:val="00C15966"/>
    <w:rsid w:val="00C2017A"/>
    <w:rsid w:val="00C2026B"/>
    <w:rsid w:val="00C20470"/>
    <w:rsid w:val="00C25440"/>
    <w:rsid w:val="00C30FCE"/>
    <w:rsid w:val="00C32A99"/>
    <w:rsid w:val="00C34269"/>
    <w:rsid w:val="00C34B2F"/>
    <w:rsid w:val="00C4641B"/>
    <w:rsid w:val="00C4664D"/>
    <w:rsid w:val="00C6012E"/>
    <w:rsid w:val="00C605D4"/>
    <w:rsid w:val="00C63C7F"/>
    <w:rsid w:val="00C63E60"/>
    <w:rsid w:val="00C64511"/>
    <w:rsid w:val="00C6690E"/>
    <w:rsid w:val="00C703C5"/>
    <w:rsid w:val="00C805F2"/>
    <w:rsid w:val="00C8202B"/>
    <w:rsid w:val="00C822B0"/>
    <w:rsid w:val="00C87A8A"/>
    <w:rsid w:val="00C91815"/>
    <w:rsid w:val="00C957F0"/>
    <w:rsid w:val="00C96EFE"/>
    <w:rsid w:val="00C9767C"/>
    <w:rsid w:val="00CA0700"/>
    <w:rsid w:val="00CA7830"/>
    <w:rsid w:val="00CB6C8A"/>
    <w:rsid w:val="00CC5E22"/>
    <w:rsid w:val="00CC5E40"/>
    <w:rsid w:val="00D01D6F"/>
    <w:rsid w:val="00D028D9"/>
    <w:rsid w:val="00D0525A"/>
    <w:rsid w:val="00D057D2"/>
    <w:rsid w:val="00D1569F"/>
    <w:rsid w:val="00D20B1E"/>
    <w:rsid w:val="00D22462"/>
    <w:rsid w:val="00D230AC"/>
    <w:rsid w:val="00D30761"/>
    <w:rsid w:val="00D31B47"/>
    <w:rsid w:val="00D32489"/>
    <w:rsid w:val="00D3349E"/>
    <w:rsid w:val="00D35E6C"/>
    <w:rsid w:val="00D41CE4"/>
    <w:rsid w:val="00D45AC2"/>
    <w:rsid w:val="00D52309"/>
    <w:rsid w:val="00D53F61"/>
    <w:rsid w:val="00D64F64"/>
    <w:rsid w:val="00D65B20"/>
    <w:rsid w:val="00D667C5"/>
    <w:rsid w:val="00D672A2"/>
    <w:rsid w:val="00D721AA"/>
    <w:rsid w:val="00D728D4"/>
    <w:rsid w:val="00D7311E"/>
    <w:rsid w:val="00D73CB8"/>
    <w:rsid w:val="00DA7591"/>
    <w:rsid w:val="00E02CA8"/>
    <w:rsid w:val="00E06219"/>
    <w:rsid w:val="00E15473"/>
    <w:rsid w:val="00E32798"/>
    <w:rsid w:val="00E33CC8"/>
    <w:rsid w:val="00E40E11"/>
    <w:rsid w:val="00E51C91"/>
    <w:rsid w:val="00E667C1"/>
    <w:rsid w:val="00E66832"/>
    <w:rsid w:val="00E852A9"/>
    <w:rsid w:val="00EB686B"/>
    <w:rsid w:val="00EC3F88"/>
    <w:rsid w:val="00ED36D8"/>
    <w:rsid w:val="00EE6BD7"/>
    <w:rsid w:val="00EE789F"/>
    <w:rsid w:val="00F0004D"/>
    <w:rsid w:val="00F01934"/>
    <w:rsid w:val="00F0689D"/>
    <w:rsid w:val="00F13387"/>
    <w:rsid w:val="00F25B25"/>
    <w:rsid w:val="00F3304C"/>
    <w:rsid w:val="00F63D0A"/>
    <w:rsid w:val="00F852AB"/>
    <w:rsid w:val="00FA11CA"/>
    <w:rsid w:val="00FA6A24"/>
    <w:rsid w:val="00FB01B5"/>
    <w:rsid w:val="00FB4498"/>
    <w:rsid w:val="00FC0234"/>
    <w:rsid w:val="00FC0477"/>
    <w:rsid w:val="00FC08B3"/>
    <w:rsid w:val="00FC429B"/>
    <w:rsid w:val="00FD23DD"/>
    <w:rsid w:val="00FE08A2"/>
    <w:rsid w:val="00FE4D46"/>
    <w:rsid w:val="00FF2B8C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F8BEB0"/>
  <w15:chartTrackingRefBased/>
  <w15:docId w15:val="{33F4F0C7-22C2-4C4B-B1F3-32D52F5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tabulky,seznam odrážky,Nad,Odstavec_muj,Odstavec cíl se seznamem,Odstavec se seznamem5,_Odstavec se seznamem,Seznam - odrážky,Conclusion de partie,List Paragraph (Czech Tourism),List Paragraph compact,Normal bullet 2,Název grafu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31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3132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fr,Légende;Char Car Car Car Car"/>
    <w:basedOn w:val="Standardnpsmoodstavce"/>
    <w:unhideWhenUsed/>
    <w:rsid w:val="0012313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F2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2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242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42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2A"/>
    <w:rPr>
      <w:rFonts w:ascii="Segoe UI" w:hAnsi="Segoe UI" w:cs="Segoe UI"/>
      <w:color w:val="000000" w:themeColor="text1"/>
      <w:sz w:val="18"/>
      <w:szCs w:val="18"/>
    </w:rPr>
  </w:style>
  <w:style w:type="paragraph" w:styleId="Titulek">
    <w:name w:val="caption"/>
    <w:basedOn w:val="Normln"/>
    <w:next w:val="Normln"/>
    <w:uiPriority w:val="37"/>
    <w:unhideWhenUsed/>
    <w:qFormat/>
    <w:rsid w:val="0061343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customStyle="1" w:styleId="Default">
    <w:name w:val="Default"/>
    <w:rsid w:val="001C7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60DCB"/>
    <w:rPr>
      <w:b/>
      <w:bCs/>
    </w:rPr>
  </w:style>
  <w:style w:type="character" w:customStyle="1" w:styleId="OdstavecseseznamemChar">
    <w:name w:val="Odstavec se seznamem Char"/>
    <w:aliases w:val="tabulky Char,seznam odrážky Char,Nad Char,Odstavec_muj Char,Odstavec cíl se seznamem Char,Odstavec se seznamem5 Char,_Odstavec se seznamem Char,Seznam - odrážky Char,Conclusion de partie Char,List Paragraph (Czech Tourism) Char"/>
    <w:link w:val="Odstavecseseznamem"/>
    <w:uiPriority w:val="34"/>
    <w:qFormat/>
    <w:locked/>
    <w:rsid w:val="00AE5D35"/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3F2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610">
          <w:marLeft w:val="0"/>
          <w:marRight w:val="0"/>
          <w:marTop w:val="0"/>
          <w:marBottom w:val="3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pzp.cz/files/documents/storage/2023/02/01/1675238135_Metodicky_postup_problematiky_recyklace_sedych_vod_v_sidlech_CR.pdf" TargetMode="External"/><Relationship Id="rId1" Type="http://schemas.openxmlformats.org/officeDocument/2006/relationships/hyperlink" Target="https://opzp.cz/files/documents/storage/2022/06/27/1656330992_Metodika%20v%C3%BDpo%C4%8Dtu%20objemu%20akumula%C4%8Dn%C3%ADch%20n%C3%A1dr%C5%BE%C3%AD_OP%C5%BDP%202021-2027_sr%C3%A1%C5%BEkov%C3%BD%20norm%C3%A1l%201991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AC221-8B86-4AD0-8DAA-8794FBFD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2058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Honzík Miroslav</dc:creator>
  <cp:keywords/>
  <dc:description/>
  <cp:lastModifiedBy>Honzík Miroslav</cp:lastModifiedBy>
  <cp:revision>2</cp:revision>
  <cp:lastPrinted>2022-08-03T13:10:00Z</cp:lastPrinted>
  <dcterms:created xsi:type="dcterms:W3CDTF">2024-04-24T09:54:00Z</dcterms:created>
  <dcterms:modified xsi:type="dcterms:W3CDTF">2024-04-24T09:54:00Z</dcterms:modified>
</cp:coreProperties>
</file>