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5550" w14:textId="40FA875A" w:rsidR="00E86E5F" w:rsidRDefault="00E86E5F" w:rsidP="00E86E5F">
      <w:pPr>
        <w:spacing w:before="120" w:after="120"/>
        <w:contextualSpacing/>
        <w:jc w:val="center"/>
        <w:rPr>
          <w:rFonts w:asciiTheme="majorHAnsi" w:hAnsiTheme="majorHAnsi" w:cstheme="majorHAnsi"/>
          <w:b/>
          <w:bCs/>
          <w:color w:val="000000"/>
          <w:sz w:val="28"/>
        </w:rPr>
      </w:pPr>
      <w:r>
        <w:rPr>
          <w:rFonts w:asciiTheme="majorHAnsi" w:hAnsiTheme="majorHAnsi" w:cstheme="majorHAnsi"/>
          <w:noProof/>
        </w:rPr>
        <w:drawing>
          <wp:anchor distT="0" distB="0" distL="114300" distR="114300" simplePos="0" relativeHeight="251671552" behindDoc="1" locked="0" layoutInCell="1" allowOverlap="1" wp14:anchorId="4DFA7DBB" wp14:editId="5DC8A884">
            <wp:simplePos x="0" y="0"/>
            <wp:positionH relativeFrom="page">
              <wp:posOffset>19050</wp:posOffset>
            </wp:positionH>
            <wp:positionV relativeFrom="paragraph">
              <wp:posOffset>-83185</wp:posOffset>
            </wp:positionV>
            <wp:extent cx="7529195" cy="10548720"/>
            <wp:effectExtent l="0" t="0" r="0" b="508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9195" cy="1054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83014" w14:textId="77777777" w:rsidR="00E86E5F" w:rsidRDefault="00E86E5F" w:rsidP="00E86E5F">
      <w:pPr>
        <w:spacing w:before="120" w:after="120"/>
        <w:contextualSpacing/>
        <w:jc w:val="center"/>
        <w:rPr>
          <w:rFonts w:asciiTheme="majorHAnsi" w:hAnsiTheme="majorHAnsi" w:cstheme="majorHAnsi"/>
          <w:b/>
          <w:bCs/>
          <w:color w:val="000000"/>
          <w:sz w:val="28"/>
        </w:rPr>
      </w:pPr>
    </w:p>
    <w:p w14:paraId="60678E5B" w14:textId="2DF8E874"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7FCD2015" w14:textId="1E036F7C"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7B54BC76" w14:textId="77777777" w:rsidR="00E86E5F" w:rsidRPr="00D16F0B" w:rsidRDefault="00E86E5F" w:rsidP="00E86E5F">
      <w:pPr>
        <w:spacing w:before="120" w:after="120"/>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7CCEFE5D" w14:textId="2CADAFF0" w:rsidR="00E86E5F" w:rsidRPr="00D16F0B" w:rsidRDefault="00E86E5F" w:rsidP="00E86E5F">
      <w:pPr>
        <w:spacing w:before="120" w:after="120"/>
        <w:contextualSpacing/>
        <w:jc w:val="center"/>
        <w:rPr>
          <w:rFonts w:asciiTheme="majorHAnsi" w:hAnsiTheme="majorHAnsi" w:cstheme="majorHAnsi"/>
        </w:rPr>
      </w:pPr>
    </w:p>
    <w:p w14:paraId="2C012D99" w14:textId="4DCF93E8" w:rsidR="00E86E5F" w:rsidRPr="00D16F0B" w:rsidRDefault="00E86E5F" w:rsidP="00E86E5F">
      <w:pPr>
        <w:spacing w:before="120" w:after="120"/>
        <w:contextualSpacing/>
        <w:jc w:val="center"/>
        <w:rPr>
          <w:rFonts w:asciiTheme="majorHAnsi" w:hAnsiTheme="majorHAnsi" w:cstheme="majorHAnsi"/>
        </w:rPr>
      </w:pPr>
    </w:p>
    <w:p w14:paraId="443F0B24" w14:textId="77777777" w:rsidR="00E86E5F" w:rsidRPr="00D16F0B" w:rsidRDefault="00E86E5F" w:rsidP="00E86E5F">
      <w:pPr>
        <w:spacing w:before="120" w:after="120"/>
        <w:contextualSpacing/>
        <w:jc w:val="center"/>
        <w:rPr>
          <w:rFonts w:asciiTheme="majorHAnsi" w:hAnsiTheme="majorHAnsi" w:cstheme="majorHAnsi"/>
        </w:rPr>
      </w:pPr>
    </w:p>
    <w:p w14:paraId="419B45A3" w14:textId="77777777" w:rsidR="00E86E5F" w:rsidRPr="00D16F0B" w:rsidRDefault="00E86E5F" w:rsidP="00E86E5F">
      <w:pPr>
        <w:spacing w:before="120" w:after="120"/>
        <w:contextualSpacing/>
        <w:jc w:val="center"/>
        <w:rPr>
          <w:rFonts w:asciiTheme="majorHAnsi" w:hAnsiTheme="majorHAnsi" w:cstheme="majorHAnsi"/>
        </w:rPr>
      </w:pPr>
    </w:p>
    <w:p w14:paraId="7CCB44B8" w14:textId="77777777" w:rsidR="00E86E5F" w:rsidRPr="00D16F0B" w:rsidRDefault="00E86E5F" w:rsidP="00E86E5F">
      <w:pPr>
        <w:spacing w:before="120" w:after="120"/>
        <w:contextualSpacing/>
        <w:jc w:val="center"/>
        <w:rPr>
          <w:rFonts w:asciiTheme="majorHAnsi" w:hAnsiTheme="majorHAnsi" w:cstheme="majorHAnsi"/>
        </w:rPr>
      </w:pPr>
    </w:p>
    <w:p w14:paraId="1D184420" w14:textId="77777777" w:rsidR="00E86E5F" w:rsidRPr="00D16F0B" w:rsidRDefault="00E86E5F" w:rsidP="00E86E5F">
      <w:pPr>
        <w:spacing w:before="120" w:after="120"/>
        <w:contextualSpacing/>
        <w:jc w:val="center"/>
        <w:rPr>
          <w:rFonts w:asciiTheme="majorHAnsi" w:hAnsiTheme="majorHAnsi" w:cstheme="majorHAnsi"/>
        </w:rPr>
      </w:pPr>
    </w:p>
    <w:p w14:paraId="46FA4E13" w14:textId="77777777" w:rsidR="00E86E5F" w:rsidRPr="00D16F0B" w:rsidRDefault="00E86E5F" w:rsidP="00E86E5F">
      <w:pPr>
        <w:spacing w:before="120" w:after="120"/>
        <w:contextualSpacing/>
        <w:jc w:val="center"/>
        <w:rPr>
          <w:rFonts w:asciiTheme="majorHAnsi" w:hAnsiTheme="majorHAnsi" w:cstheme="majorHAnsi"/>
        </w:rPr>
      </w:pPr>
    </w:p>
    <w:p w14:paraId="0B920F90" w14:textId="77777777" w:rsidR="00E86E5F" w:rsidRPr="00D16F0B" w:rsidRDefault="00E86E5F" w:rsidP="00E86E5F">
      <w:pPr>
        <w:spacing w:before="120" w:after="120"/>
        <w:contextualSpacing/>
        <w:jc w:val="center"/>
        <w:rPr>
          <w:rFonts w:asciiTheme="majorHAnsi" w:hAnsiTheme="majorHAnsi" w:cstheme="majorHAnsi"/>
        </w:rPr>
      </w:pPr>
    </w:p>
    <w:p w14:paraId="7D6BC6EC" w14:textId="77777777" w:rsidR="00E86E5F" w:rsidRPr="00D16F0B" w:rsidRDefault="00E86E5F" w:rsidP="00E86E5F">
      <w:pPr>
        <w:spacing w:before="120" w:after="120"/>
        <w:contextualSpacing/>
        <w:jc w:val="center"/>
        <w:rPr>
          <w:rFonts w:asciiTheme="majorHAnsi" w:hAnsiTheme="majorHAnsi" w:cstheme="majorHAnsi"/>
        </w:rPr>
      </w:pPr>
    </w:p>
    <w:p w14:paraId="2ABB541B" w14:textId="77777777" w:rsidR="00E86E5F" w:rsidRDefault="00E86E5F" w:rsidP="00E86E5F">
      <w:pPr>
        <w:spacing w:before="120" w:after="120"/>
        <w:contextualSpacing/>
        <w:jc w:val="center"/>
        <w:rPr>
          <w:rFonts w:asciiTheme="majorHAnsi" w:hAnsiTheme="majorHAnsi" w:cstheme="majorHAnsi"/>
        </w:rPr>
      </w:pPr>
    </w:p>
    <w:p w14:paraId="6F9659C3" w14:textId="77777777" w:rsidR="00E86E5F" w:rsidRDefault="00E86E5F" w:rsidP="00E86E5F">
      <w:pPr>
        <w:spacing w:before="120" w:after="120"/>
        <w:contextualSpacing/>
        <w:jc w:val="center"/>
        <w:rPr>
          <w:rFonts w:asciiTheme="majorHAnsi" w:hAnsiTheme="majorHAnsi" w:cstheme="majorHAnsi"/>
        </w:rPr>
      </w:pPr>
    </w:p>
    <w:p w14:paraId="75FE7264" w14:textId="77777777" w:rsidR="00E86E5F" w:rsidRPr="00D16F0B" w:rsidRDefault="00E86E5F" w:rsidP="00E86E5F">
      <w:pPr>
        <w:spacing w:before="120" w:after="120"/>
        <w:contextualSpacing/>
        <w:jc w:val="center"/>
        <w:rPr>
          <w:rFonts w:asciiTheme="majorHAnsi" w:hAnsiTheme="majorHAnsi" w:cstheme="majorHAnsi"/>
        </w:rPr>
      </w:pPr>
    </w:p>
    <w:p w14:paraId="3D775D8A" w14:textId="77777777" w:rsidR="00E86E5F" w:rsidRPr="00D16F0B" w:rsidRDefault="00E86E5F" w:rsidP="00E86E5F">
      <w:pPr>
        <w:spacing w:before="120" w:after="120"/>
        <w:contextualSpacing/>
        <w:jc w:val="center"/>
        <w:rPr>
          <w:rFonts w:asciiTheme="majorHAnsi" w:hAnsiTheme="majorHAnsi" w:cstheme="majorHAnsi"/>
        </w:rPr>
      </w:pPr>
    </w:p>
    <w:p w14:paraId="274C50AD" w14:textId="77777777" w:rsidR="00E86E5F" w:rsidRPr="00D16F0B" w:rsidRDefault="00E86E5F" w:rsidP="00E86E5F">
      <w:pPr>
        <w:spacing w:before="120" w:after="120"/>
        <w:contextualSpacing/>
        <w:jc w:val="center"/>
        <w:rPr>
          <w:rFonts w:asciiTheme="majorHAnsi" w:hAnsiTheme="majorHAnsi" w:cstheme="majorHAnsi"/>
        </w:rPr>
      </w:pPr>
    </w:p>
    <w:p w14:paraId="1B77994A" w14:textId="085C8FC7" w:rsidR="00635966" w:rsidRDefault="00E86E5F" w:rsidP="00E86E5F">
      <w:pPr>
        <w:pStyle w:val="Nadpisobsahu"/>
        <w:jc w:val="center"/>
        <w:rPr>
          <w:rFonts w:ascii="Calibri-Bold" w:hAnsi="Calibri-Bold" w:cs="Calibri-Bold"/>
          <w:bCs/>
          <w:color w:val="000000"/>
          <w:szCs w:val="28"/>
        </w:rPr>
      </w:pPr>
      <w:r w:rsidRPr="00C64A88">
        <w:rPr>
          <w:rFonts w:ascii="Calibri-Bold" w:hAnsi="Calibri-Bold" w:cs="Calibri-Bold"/>
          <w:bCs/>
          <w:color w:val="000000"/>
          <w:szCs w:val="28"/>
        </w:rPr>
        <w:t xml:space="preserve">Příloha č. </w:t>
      </w:r>
      <w:proofErr w:type="gramStart"/>
      <w:r w:rsidR="00C64A88" w:rsidRPr="00C64A88">
        <w:rPr>
          <w:rFonts w:ascii="Calibri-Bold" w:hAnsi="Calibri-Bold" w:cs="Calibri-Bold"/>
          <w:bCs/>
          <w:color w:val="000000"/>
          <w:szCs w:val="28"/>
        </w:rPr>
        <w:t>7</w:t>
      </w:r>
      <w:r w:rsidR="00EB7A77">
        <w:rPr>
          <w:rFonts w:ascii="Calibri-Bold" w:hAnsi="Calibri-Bold" w:cs="Calibri-Bold"/>
          <w:bCs/>
          <w:color w:val="000000"/>
          <w:szCs w:val="28"/>
        </w:rPr>
        <w:t>a</w:t>
      </w:r>
      <w:proofErr w:type="gramEnd"/>
      <w:r w:rsidRPr="005B08AA">
        <w:rPr>
          <w:rFonts w:ascii="Calibri-Bold" w:hAnsi="Calibri-Bold" w:cs="Calibri-Bold"/>
          <w:bCs/>
          <w:color w:val="000000"/>
          <w:szCs w:val="28"/>
        </w:rPr>
        <w:t xml:space="preserve"> </w:t>
      </w:r>
    </w:p>
    <w:p w14:paraId="576D89FE" w14:textId="77777777" w:rsidR="00E016AD" w:rsidRDefault="00E86E5F" w:rsidP="00E86E5F">
      <w:pPr>
        <w:pStyle w:val="Nadpisobsahu"/>
        <w:jc w:val="center"/>
        <w:rPr>
          <w:rFonts w:ascii="Calibri" w:hAnsi="Calibri" w:cs="Calibri"/>
        </w:rPr>
      </w:pPr>
      <w:r w:rsidRPr="005B08AA">
        <w:rPr>
          <w:rFonts w:ascii="Calibri-Bold" w:hAnsi="Calibri-Bold" w:cs="Calibri-Bold"/>
          <w:bCs/>
          <w:color w:val="000000"/>
          <w:szCs w:val="28"/>
        </w:rPr>
        <w:t xml:space="preserve">FORMULÁŘ </w:t>
      </w:r>
      <w:r w:rsidR="00E016AD">
        <w:rPr>
          <w:rFonts w:ascii="Calibri" w:hAnsi="Calibri" w:cs="Calibri"/>
        </w:rPr>
        <w:t>prověření zásady „významně nepoškozovat“</w:t>
      </w:r>
    </w:p>
    <w:p w14:paraId="49966D7C" w14:textId="4108AA3E" w:rsidR="00E016AD" w:rsidRDefault="00E016AD" w:rsidP="00646247">
      <w:pPr>
        <w:pStyle w:val="Nadpisobsahu"/>
        <w:spacing w:before="0"/>
        <w:jc w:val="center"/>
        <w:rPr>
          <w:rFonts w:ascii="Calibri-Bold" w:hAnsi="Calibri-Bold" w:cs="Calibri-Bold"/>
          <w:bCs/>
          <w:color w:val="000000"/>
          <w:szCs w:val="28"/>
        </w:rPr>
      </w:pPr>
      <w:r>
        <w:rPr>
          <w:rFonts w:ascii="Calibri" w:hAnsi="Calibri" w:cs="Calibri"/>
        </w:rPr>
        <w:t xml:space="preserve"> a prověření infrastruktury z hlediska klimatického dopadu</w:t>
      </w:r>
      <w:r w:rsidR="00E86E5F" w:rsidRPr="005B08AA">
        <w:rPr>
          <w:rFonts w:ascii="Calibri-Bold" w:hAnsi="Calibri-Bold" w:cs="Calibri-Bold"/>
          <w:bCs/>
          <w:color w:val="000000"/>
          <w:szCs w:val="28"/>
        </w:rPr>
        <w:t xml:space="preserve"> </w:t>
      </w:r>
    </w:p>
    <w:p w14:paraId="380023EB" w14:textId="1586D686" w:rsidR="00E86E5F" w:rsidRDefault="000A364D" w:rsidP="00E86E5F">
      <w:pPr>
        <w:pStyle w:val="Nadpisobsahu"/>
        <w:jc w:val="center"/>
        <w:rPr>
          <w:color w:val="0070C0"/>
          <w:sz w:val="36"/>
          <w:szCs w:val="36"/>
        </w:rPr>
      </w:pPr>
      <w:r>
        <w:rPr>
          <w:rFonts w:ascii="Calibri-Bold" w:hAnsi="Calibri-Bold" w:cs="Calibri-Bold"/>
          <w:bCs/>
          <w:color w:val="000000"/>
          <w:szCs w:val="28"/>
        </w:rPr>
        <w:t>Digitální podnik – Technologie 4.0</w:t>
      </w:r>
      <w:r w:rsidR="00E86E5F" w:rsidRPr="005B08AA">
        <w:rPr>
          <w:rFonts w:ascii="Calibri-Bold" w:hAnsi="Calibri-Bold" w:cs="Calibri-Bold"/>
          <w:bCs/>
          <w:color w:val="000000"/>
          <w:szCs w:val="28"/>
        </w:rPr>
        <w:t xml:space="preserve"> – </w:t>
      </w:r>
      <w:r w:rsidR="00635966">
        <w:rPr>
          <w:rFonts w:ascii="Calibri-Bold" w:hAnsi="Calibri-Bold" w:cs="Calibri-Bold"/>
          <w:bCs/>
          <w:color w:val="000000"/>
          <w:szCs w:val="28"/>
        </w:rPr>
        <w:t xml:space="preserve">I. </w:t>
      </w:r>
      <w:r w:rsidR="00E86E5F" w:rsidRPr="005B08AA">
        <w:rPr>
          <w:rFonts w:ascii="Calibri-Bold" w:hAnsi="Calibri-Bold" w:cs="Calibri-Bold"/>
          <w:bCs/>
          <w:color w:val="000000"/>
          <w:szCs w:val="28"/>
        </w:rPr>
        <w:t>výzva.</w:t>
      </w:r>
    </w:p>
    <w:p w14:paraId="35BFB2A6" w14:textId="6CACB09B" w:rsidR="00E86E5F" w:rsidRPr="005B08AA" w:rsidRDefault="00E86E5F" w:rsidP="00E86E5F">
      <w:pPr>
        <w:autoSpaceDE w:val="0"/>
        <w:autoSpaceDN w:val="0"/>
        <w:adjustRightInd w:val="0"/>
        <w:jc w:val="center"/>
        <w:rPr>
          <w:rFonts w:ascii="Calibri-Bold" w:hAnsi="Calibri-Bold" w:cs="Calibri-Bold"/>
          <w:b/>
          <w:bCs/>
          <w:color w:val="000000"/>
          <w:sz w:val="28"/>
          <w:szCs w:val="28"/>
        </w:rPr>
      </w:pPr>
    </w:p>
    <w:p w14:paraId="5A68E4BE" w14:textId="77777777" w:rsidR="00E86E5F" w:rsidRDefault="00E86E5F" w:rsidP="00F13060">
      <w:pPr>
        <w:pStyle w:val="Nadpisobsahu"/>
        <w:jc w:val="center"/>
        <w:rPr>
          <w:color w:val="0070C0"/>
          <w:sz w:val="36"/>
          <w:szCs w:val="36"/>
        </w:rPr>
      </w:pPr>
    </w:p>
    <w:p w14:paraId="289229D7" w14:textId="77777777" w:rsidR="00E86E5F" w:rsidRDefault="00E86E5F" w:rsidP="00F13060">
      <w:pPr>
        <w:pStyle w:val="Nadpisobsahu"/>
        <w:jc w:val="center"/>
        <w:rPr>
          <w:color w:val="0070C0"/>
          <w:sz w:val="36"/>
          <w:szCs w:val="36"/>
        </w:rPr>
      </w:pPr>
    </w:p>
    <w:p w14:paraId="035FE7A3" w14:textId="77777777" w:rsidR="00E86E5F" w:rsidRDefault="00E86E5F" w:rsidP="00F13060">
      <w:pPr>
        <w:pStyle w:val="Nadpisobsahu"/>
        <w:jc w:val="center"/>
        <w:rPr>
          <w:color w:val="0070C0"/>
          <w:sz w:val="36"/>
          <w:szCs w:val="36"/>
        </w:rPr>
      </w:pPr>
    </w:p>
    <w:p w14:paraId="45278EE6" w14:textId="77777777" w:rsidR="00E86E5F" w:rsidRDefault="00E86E5F" w:rsidP="00F13060">
      <w:pPr>
        <w:pStyle w:val="Nadpisobsahu"/>
        <w:jc w:val="center"/>
        <w:rPr>
          <w:color w:val="0070C0"/>
          <w:sz w:val="36"/>
          <w:szCs w:val="36"/>
        </w:rPr>
      </w:pPr>
    </w:p>
    <w:p w14:paraId="726AC88B" w14:textId="77777777" w:rsidR="00E86E5F" w:rsidRDefault="00E86E5F" w:rsidP="00F13060">
      <w:pPr>
        <w:pStyle w:val="Nadpisobsahu"/>
        <w:jc w:val="center"/>
        <w:rPr>
          <w:color w:val="0070C0"/>
          <w:sz w:val="36"/>
          <w:szCs w:val="36"/>
        </w:rPr>
      </w:pPr>
    </w:p>
    <w:p w14:paraId="5D326A53" w14:textId="77777777" w:rsidR="00E86E5F" w:rsidRDefault="00E86E5F" w:rsidP="00F13060">
      <w:pPr>
        <w:pStyle w:val="Nadpisobsahu"/>
        <w:jc w:val="center"/>
        <w:rPr>
          <w:color w:val="0070C0"/>
          <w:sz w:val="36"/>
          <w:szCs w:val="36"/>
        </w:rPr>
      </w:pPr>
    </w:p>
    <w:p w14:paraId="32039EEF" w14:textId="77777777" w:rsidR="00E86E5F" w:rsidRDefault="00E86E5F" w:rsidP="00F13060">
      <w:pPr>
        <w:pStyle w:val="Nadpisobsahu"/>
        <w:jc w:val="center"/>
        <w:rPr>
          <w:color w:val="0070C0"/>
          <w:sz w:val="36"/>
          <w:szCs w:val="36"/>
        </w:rPr>
      </w:pPr>
    </w:p>
    <w:p w14:paraId="060BECC3" w14:textId="77777777" w:rsidR="00E86E5F" w:rsidRDefault="00E86E5F" w:rsidP="00F13060">
      <w:pPr>
        <w:pStyle w:val="Nadpisobsahu"/>
        <w:jc w:val="center"/>
        <w:rPr>
          <w:color w:val="0070C0"/>
          <w:sz w:val="36"/>
          <w:szCs w:val="36"/>
        </w:rPr>
      </w:pPr>
    </w:p>
    <w:p w14:paraId="552763C0" w14:textId="77777777" w:rsidR="00E86E5F" w:rsidRDefault="00E86E5F" w:rsidP="00F13060">
      <w:pPr>
        <w:pStyle w:val="Nadpisobsahu"/>
        <w:jc w:val="center"/>
        <w:rPr>
          <w:color w:val="0070C0"/>
          <w:sz w:val="36"/>
          <w:szCs w:val="36"/>
        </w:rPr>
      </w:pPr>
    </w:p>
    <w:p w14:paraId="737E34EC" w14:textId="77777777" w:rsidR="00E86E5F" w:rsidRDefault="00E86E5F" w:rsidP="00F13060">
      <w:pPr>
        <w:pStyle w:val="Nadpisobsahu"/>
        <w:jc w:val="center"/>
        <w:rPr>
          <w:color w:val="0070C0"/>
          <w:sz w:val="36"/>
          <w:szCs w:val="36"/>
        </w:rPr>
      </w:pPr>
    </w:p>
    <w:p w14:paraId="2A2132E3" w14:textId="77777777" w:rsidR="00E86E5F" w:rsidRDefault="00E86E5F">
      <w:pPr>
        <w:spacing w:after="200" w:line="276" w:lineRule="auto"/>
        <w:rPr>
          <w:rFonts w:asciiTheme="majorHAnsi" w:hAnsiTheme="majorHAnsi"/>
          <w:b/>
          <w:color w:val="0070C0"/>
          <w:sz w:val="36"/>
          <w:szCs w:val="36"/>
        </w:rPr>
      </w:pPr>
      <w:r>
        <w:rPr>
          <w:color w:val="0070C0"/>
          <w:sz w:val="36"/>
          <w:szCs w:val="36"/>
        </w:rPr>
        <w:br w:type="page"/>
      </w:r>
    </w:p>
    <w:p w14:paraId="53D0ACBD" w14:textId="77777777" w:rsidR="00C64A88" w:rsidRDefault="00C64A88" w:rsidP="00E86E5F">
      <w:pPr>
        <w:rPr>
          <w:rFonts w:asciiTheme="minorHAnsi" w:hAnsiTheme="minorHAnsi" w:cstheme="minorHAnsi"/>
          <w:b/>
          <w:sz w:val="22"/>
          <w:szCs w:val="22"/>
        </w:rPr>
      </w:pPr>
    </w:p>
    <w:p w14:paraId="49520387" w14:textId="0AD2CB5F" w:rsidR="00E86E5F" w:rsidRPr="00711EF9" w:rsidRDefault="00E86E5F" w:rsidP="00E86E5F">
      <w:pPr>
        <w:rPr>
          <w:rFonts w:asciiTheme="minorHAnsi" w:hAnsiTheme="minorHAnsi" w:cstheme="minorHAnsi"/>
          <w:b/>
          <w:sz w:val="22"/>
          <w:szCs w:val="22"/>
        </w:rPr>
      </w:pPr>
      <w:r w:rsidRPr="00711EF9">
        <w:rPr>
          <w:rFonts w:asciiTheme="minorHAnsi" w:hAnsiTheme="minorHAnsi" w:cstheme="minorHAnsi"/>
          <w:b/>
          <w:sz w:val="22"/>
          <w:szCs w:val="22"/>
        </w:rPr>
        <w:t>Identifikace projektu/žadatele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5"/>
      </w:tblGrid>
      <w:tr w:rsidR="00E86E5F" w:rsidRPr="00711EF9" w14:paraId="703B7BE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A5E28BC"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a číslo výzvy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94D9435" w14:textId="77777777" w:rsidR="00E86E5F" w:rsidRPr="00711EF9" w:rsidRDefault="00E86E5F" w:rsidP="004D0C3B">
            <w:pPr>
              <w:rPr>
                <w:rFonts w:asciiTheme="minorHAnsi" w:hAnsiTheme="minorHAnsi" w:cstheme="minorHAnsi"/>
                <w:iCs/>
                <w:color w:val="00B050"/>
                <w:sz w:val="22"/>
                <w:szCs w:val="22"/>
              </w:rPr>
            </w:pPr>
          </w:p>
        </w:tc>
      </w:tr>
      <w:tr w:rsidR="00E86E5F" w:rsidRPr="00711EF9" w14:paraId="539F52E7"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50D7E80"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1BABADB" w14:textId="77777777" w:rsidR="00E86E5F" w:rsidRPr="00711EF9" w:rsidRDefault="00E86E5F" w:rsidP="004D0C3B">
            <w:pPr>
              <w:rPr>
                <w:rFonts w:asciiTheme="minorHAnsi" w:hAnsiTheme="minorHAnsi" w:cstheme="minorHAnsi"/>
                <w:iCs/>
                <w:color w:val="00B050"/>
                <w:sz w:val="22"/>
                <w:szCs w:val="22"/>
              </w:rPr>
            </w:pPr>
          </w:p>
        </w:tc>
      </w:tr>
      <w:tr w:rsidR="00E86E5F" w:rsidRPr="00711EF9" w14:paraId="75E108C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23C3E9D"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žadatele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C3AC694" w14:textId="77777777" w:rsidR="00E86E5F" w:rsidRPr="00711EF9" w:rsidRDefault="00E86E5F" w:rsidP="004D0C3B">
            <w:pPr>
              <w:rPr>
                <w:rFonts w:asciiTheme="minorHAnsi" w:hAnsiTheme="minorHAnsi" w:cstheme="minorHAnsi"/>
                <w:iCs/>
                <w:color w:val="00B050"/>
                <w:sz w:val="22"/>
                <w:szCs w:val="22"/>
              </w:rPr>
            </w:pPr>
          </w:p>
        </w:tc>
      </w:tr>
    </w:tbl>
    <w:p w14:paraId="2D0DAB73" w14:textId="62046AFB" w:rsidR="00E268B6" w:rsidRPr="00E4133C" w:rsidRDefault="00617CC1" w:rsidP="00E4133C">
      <w:pPr>
        <w:spacing w:before="120"/>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Tento formulář </w:t>
      </w:r>
      <w:r w:rsidR="00873493">
        <w:rPr>
          <w:rFonts w:asciiTheme="minorHAnsi" w:hAnsiTheme="minorHAnsi" w:cstheme="minorHAnsi"/>
          <w:color w:val="000000"/>
          <w:sz w:val="22"/>
          <w:szCs w:val="22"/>
        </w:rPr>
        <w:t>uvádí</w:t>
      </w:r>
      <w:r w:rsidR="00E268B6">
        <w:rPr>
          <w:rFonts w:asciiTheme="minorHAnsi" w:hAnsiTheme="minorHAnsi" w:cstheme="minorHAnsi"/>
          <w:color w:val="000000"/>
          <w:sz w:val="22"/>
          <w:szCs w:val="22"/>
        </w:rPr>
        <w:t xml:space="preserve"> </w:t>
      </w:r>
      <w:r w:rsidR="00B416AB" w:rsidRPr="00E4133C">
        <w:rPr>
          <w:rFonts w:asciiTheme="minorHAnsi" w:hAnsiTheme="minorHAnsi" w:cstheme="minorHAnsi"/>
          <w:b/>
          <w:color w:val="000000"/>
          <w:sz w:val="22"/>
          <w:szCs w:val="22"/>
        </w:rPr>
        <w:t xml:space="preserve">závazné </w:t>
      </w:r>
      <w:r w:rsidR="00873493" w:rsidRPr="00E4133C">
        <w:rPr>
          <w:rFonts w:asciiTheme="minorHAnsi" w:hAnsiTheme="minorHAnsi" w:cstheme="minorHAnsi"/>
          <w:b/>
          <w:color w:val="000000"/>
          <w:sz w:val="22"/>
          <w:szCs w:val="22"/>
        </w:rPr>
        <w:t>podmí</w:t>
      </w:r>
      <w:r w:rsidR="008C6366" w:rsidRPr="00E4133C">
        <w:rPr>
          <w:rFonts w:asciiTheme="minorHAnsi" w:hAnsiTheme="minorHAnsi" w:cstheme="minorHAnsi"/>
          <w:b/>
          <w:color w:val="000000"/>
          <w:sz w:val="22"/>
          <w:szCs w:val="22"/>
        </w:rPr>
        <w:t>nky</w:t>
      </w:r>
      <w:r w:rsidR="008C6366" w:rsidRPr="00E4133C">
        <w:rPr>
          <w:rFonts w:asciiTheme="minorHAnsi" w:hAnsiTheme="minorHAnsi" w:cstheme="minorHAnsi"/>
          <w:color w:val="000000"/>
          <w:sz w:val="22"/>
          <w:szCs w:val="22"/>
        </w:rPr>
        <w:t xml:space="preserve"> k na plnění zásady „významně nepoškozovat“ (dále DNSH)</w:t>
      </w:r>
      <w:r w:rsidR="008C6366">
        <w:rPr>
          <w:rStyle w:val="Znakapoznpodarou"/>
          <w:rFonts w:asciiTheme="minorHAnsi" w:hAnsiTheme="minorHAnsi" w:cstheme="minorHAnsi"/>
          <w:color w:val="000000"/>
          <w:sz w:val="22"/>
          <w:szCs w:val="22"/>
        </w:rPr>
        <w:footnoteReference w:id="1"/>
      </w:r>
      <w:r w:rsidR="00A315CD" w:rsidRPr="00E4133C">
        <w:rPr>
          <w:rFonts w:asciiTheme="minorHAnsi" w:hAnsiTheme="minorHAnsi" w:cstheme="minorHAnsi"/>
          <w:color w:val="000000"/>
          <w:sz w:val="22"/>
          <w:szCs w:val="22"/>
        </w:rPr>
        <w:t xml:space="preserve"> – vyloučené aktivity a závazná technická kritéria. </w:t>
      </w:r>
      <w:r w:rsidR="00B416AB" w:rsidRPr="00E4133C">
        <w:rPr>
          <w:rFonts w:asciiTheme="minorHAnsi" w:hAnsiTheme="minorHAnsi" w:cstheme="minorHAnsi"/>
          <w:color w:val="000000"/>
          <w:sz w:val="22"/>
          <w:szCs w:val="22"/>
        </w:rPr>
        <w:t xml:space="preserve">Uvádí rovněž způsob jejich aplikace v rámci realizace projektu. </w:t>
      </w:r>
      <w:r w:rsidR="00A315CD" w:rsidRPr="00E4133C">
        <w:rPr>
          <w:rFonts w:asciiTheme="minorHAnsi" w:hAnsiTheme="minorHAnsi" w:cstheme="minorHAnsi"/>
          <w:b/>
          <w:color w:val="000000"/>
          <w:sz w:val="22"/>
          <w:szCs w:val="22"/>
        </w:rPr>
        <w:t xml:space="preserve">Plnění daných podmínek žadatel </w:t>
      </w:r>
      <w:r w:rsidR="008010CE" w:rsidRPr="00E4133C">
        <w:rPr>
          <w:rFonts w:asciiTheme="minorHAnsi" w:hAnsiTheme="minorHAnsi" w:cstheme="minorHAnsi"/>
          <w:b/>
          <w:color w:val="000000"/>
          <w:sz w:val="22"/>
          <w:szCs w:val="22"/>
        </w:rPr>
        <w:t xml:space="preserve">stvrzuje </w:t>
      </w:r>
      <w:r w:rsidR="00B416AB" w:rsidRPr="00E4133C">
        <w:rPr>
          <w:rFonts w:asciiTheme="minorHAnsi" w:hAnsiTheme="minorHAnsi" w:cstheme="minorHAnsi"/>
          <w:b/>
          <w:color w:val="000000"/>
          <w:sz w:val="22"/>
          <w:szCs w:val="22"/>
        </w:rPr>
        <w:t xml:space="preserve">ve fázi podání projektu </w:t>
      </w:r>
      <w:r w:rsidR="00A315CD" w:rsidRPr="00E4133C">
        <w:rPr>
          <w:rFonts w:asciiTheme="minorHAnsi" w:hAnsiTheme="minorHAnsi" w:cstheme="minorHAnsi"/>
          <w:b/>
          <w:color w:val="000000"/>
          <w:sz w:val="22"/>
          <w:szCs w:val="22"/>
        </w:rPr>
        <w:t>podpisem čestného prohlášení uvedeného v kapitole 4. tohoto formuláře</w:t>
      </w:r>
    </w:p>
    <w:p w14:paraId="2AC9C7AF" w14:textId="77777777" w:rsidR="00CB5340" w:rsidRDefault="00CB5340" w:rsidP="00607F49">
      <w:pPr>
        <w:jc w:val="both"/>
        <w:rPr>
          <w:rFonts w:asciiTheme="minorHAnsi" w:hAnsiTheme="minorHAnsi" w:cstheme="minorHAnsi"/>
          <w:b/>
          <w:color w:val="000000"/>
          <w:sz w:val="22"/>
          <w:szCs w:val="22"/>
        </w:rPr>
      </w:pPr>
    </w:p>
    <w:p w14:paraId="59D7AC63" w14:textId="78489C36" w:rsidR="00607F49" w:rsidRPr="00711EF9" w:rsidRDefault="006E010F" w:rsidP="00607F49">
      <w:pPr>
        <w:jc w:val="both"/>
        <w:rPr>
          <w:rFonts w:asciiTheme="minorHAnsi" w:hAnsiTheme="minorHAnsi" w:cstheme="minorHAnsi"/>
          <w:b/>
          <w:sz w:val="22"/>
          <w:szCs w:val="22"/>
        </w:rPr>
      </w:pPr>
      <w:r>
        <w:rPr>
          <w:rFonts w:asciiTheme="minorHAnsi" w:hAnsiTheme="minorHAnsi" w:cstheme="minorHAnsi"/>
          <w:b/>
          <w:color w:val="000000"/>
          <w:sz w:val="22"/>
          <w:szCs w:val="22"/>
        </w:rPr>
        <w:t xml:space="preserve">Tento formulář je určen pro projekty pořízení nových technologických zařízení a vybavení, i pořízení výrobních strojů a zařízení, které neznamenají </w:t>
      </w:r>
      <w:r w:rsidR="00CB5340" w:rsidRPr="00CB5340">
        <w:rPr>
          <w:rFonts w:asciiTheme="minorHAnsi" w:hAnsiTheme="minorHAnsi" w:cstheme="minorHAnsi"/>
          <w:b/>
          <w:color w:val="000000"/>
          <w:sz w:val="22"/>
          <w:szCs w:val="22"/>
          <w:u w:val="single"/>
        </w:rPr>
        <w:t>zřízení nového provozu / celistvé rozšíření stávajícího provozu</w:t>
      </w:r>
      <w:r w:rsidR="00CB5340">
        <w:rPr>
          <w:rFonts w:asciiTheme="minorHAnsi" w:hAnsiTheme="minorHAnsi" w:cstheme="minorHAnsi"/>
          <w:b/>
          <w:color w:val="000000"/>
          <w:sz w:val="22"/>
          <w:szCs w:val="22"/>
          <w:u w:val="single"/>
        </w:rPr>
        <w:t xml:space="preserve"> ve smyslu nové či rekonstruované výrobní haly.</w:t>
      </w:r>
    </w:p>
    <w:p w14:paraId="16CE0AAB" w14:textId="1F49A4B8" w:rsidR="00C20C9D" w:rsidRDefault="00C20C9D" w:rsidP="00E86E5F">
      <w:pPr>
        <w:spacing w:before="120"/>
        <w:jc w:val="both"/>
        <w:rPr>
          <w:rFonts w:asciiTheme="minorHAnsi" w:hAnsiTheme="minorHAnsi" w:cstheme="minorHAnsi"/>
          <w:color w:val="000000"/>
          <w:sz w:val="22"/>
          <w:szCs w:val="22"/>
        </w:rPr>
      </w:pPr>
    </w:p>
    <w:p w14:paraId="6740EE66" w14:textId="77777777" w:rsidR="008C6366" w:rsidRPr="00711EF9" w:rsidRDefault="008C6366" w:rsidP="00E86E5F">
      <w:pPr>
        <w:spacing w:before="120"/>
        <w:jc w:val="both"/>
        <w:rPr>
          <w:rFonts w:asciiTheme="minorHAnsi" w:hAnsiTheme="minorHAnsi" w:cstheme="minorHAnsi"/>
          <w:color w:val="000000"/>
          <w:sz w:val="22"/>
          <w:szCs w:val="22"/>
        </w:rPr>
      </w:pPr>
    </w:p>
    <w:p w14:paraId="7B1847CB" w14:textId="5C7BC964" w:rsidR="00E86E5F" w:rsidRDefault="008010CE" w:rsidP="00E86E5F">
      <w:pPr>
        <w:spacing w:before="120"/>
        <w:jc w:val="both"/>
        <w:rPr>
          <w:rFonts w:asciiTheme="minorHAnsi" w:hAnsiTheme="minorHAnsi" w:cstheme="minorHAnsi"/>
          <w:b/>
          <w:sz w:val="22"/>
          <w:szCs w:val="22"/>
        </w:rPr>
      </w:pPr>
      <w:r>
        <w:rPr>
          <w:rFonts w:asciiTheme="minorHAnsi" w:hAnsiTheme="minorHAnsi" w:cstheme="minorHAnsi"/>
          <w:b/>
          <w:sz w:val="22"/>
          <w:szCs w:val="22"/>
        </w:rPr>
        <w:t>Obsah formuláře:</w:t>
      </w:r>
    </w:p>
    <w:sdt>
      <w:sdtPr>
        <w:rPr>
          <w:rFonts w:ascii="Calibri" w:hAnsi="Calibri"/>
          <w:b w:val="0"/>
          <w:sz w:val="24"/>
        </w:rPr>
        <w:id w:val="-1794050972"/>
        <w:docPartObj>
          <w:docPartGallery w:val="Table of Contents"/>
          <w:docPartUnique/>
        </w:docPartObj>
      </w:sdtPr>
      <w:sdtEndPr>
        <w:rPr>
          <w:bCs/>
        </w:rPr>
      </w:sdtEndPr>
      <w:sdtContent>
        <w:p w14:paraId="164639D1" w14:textId="5FC2995E" w:rsidR="008010CE" w:rsidRDefault="008010CE" w:rsidP="00BE6882">
          <w:pPr>
            <w:pStyle w:val="Nadpisobsahu"/>
          </w:pPr>
          <w:r>
            <w:t>Obsah</w:t>
          </w:r>
        </w:p>
        <w:p w14:paraId="0F679B25" w14:textId="54D89786" w:rsidR="00BE6882" w:rsidRDefault="008010CE" w:rsidP="00BE6882">
          <w:pPr>
            <w:pStyle w:val="Obsah1"/>
            <w:rPr>
              <w:rFonts w:asciiTheme="minorHAnsi" w:eastAsiaTheme="minorEastAsia" w:hAnsiTheme="minorHAnsi" w:cstheme="minorBidi"/>
              <w:noProof/>
              <w:kern w:val="2"/>
              <w:lang w:eastAsia="cs-CZ"/>
              <w14:ligatures w14:val="standardContextual"/>
            </w:rPr>
          </w:pPr>
          <w:r>
            <w:fldChar w:fldCharType="begin"/>
          </w:r>
          <w:r>
            <w:instrText xml:space="preserve"> TOC \o "1-3" \h \z \u </w:instrText>
          </w:r>
          <w:r>
            <w:fldChar w:fldCharType="separate"/>
          </w:r>
          <w:hyperlink w:anchor="_Toc151583569" w:history="1">
            <w:r w:rsidR="00BE6882" w:rsidRPr="003879CB">
              <w:rPr>
                <w:rStyle w:val="Hypertextovodkaz"/>
                <w:noProof/>
              </w:rPr>
              <w:t>1.</w:t>
            </w:r>
            <w:r w:rsidR="00BE6882">
              <w:rPr>
                <w:rFonts w:asciiTheme="minorHAnsi" w:eastAsiaTheme="minorEastAsia" w:hAnsiTheme="minorHAnsi" w:cstheme="minorBidi"/>
                <w:noProof/>
                <w:kern w:val="2"/>
                <w:lang w:eastAsia="cs-CZ"/>
                <w14:ligatures w14:val="standardContextual"/>
              </w:rPr>
              <w:tab/>
            </w:r>
            <w:r w:rsidR="00BE6882" w:rsidRPr="003879CB">
              <w:rPr>
                <w:rStyle w:val="Hypertextovodkaz"/>
                <w:noProof/>
              </w:rPr>
              <w:t>Vyloučené aktivity</w:t>
            </w:r>
            <w:r w:rsidR="00BE6882">
              <w:rPr>
                <w:noProof/>
                <w:webHidden/>
              </w:rPr>
              <w:tab/>
            </w:r>
            <w:r w:rsidR="00BE6882">
              <w:rPr>
                <w:noProof/>
                <w:webHidden/>
              </w:rPr>
              <w:fldChar w:fldCharType="begin"/>
            </w:r>
            <w:r w:rsidR="00BE6882">
              <w:rPr>
                <w:noProof/>
                <w:webHidden/>
              </w:rPr>
              <w:instrText xml:space="preserve"> PAGEREF _Toc151583569 \h </w:instrText>
            </w:r>
            <w:r w:rsidR="00BE6882">
              <w:rPr>
                <w:noProof/>
                <w:webHidden/>
              </w:rPr>
            </w:r>
            <w:r w:rsidR="00BE6882">
              <w:rPr>
                <w:noProof/>
                <w:webHidden/>
              </w:rPr>
              <w:fldChar w:fldCharType="separate"/>
            </w:r>
            <w:r w:rsidR="00BE6882">
              <w:rPr>
                <w:noProof/>
                <w:webHidden/>
              </w:rPr>
              <w:t>2</w:t>
            </w:r>
            <w:r w:rsidR="00BE6882">
              <w:rPr>
                <w:noProof/>
                <w:webHidden/>
              </w:rPr>
              <w:fldChar w:fldCharType="end"/>
            </w:r>
          </w:hyperlink>
        </w:p>
        <w:p w14:paraId="14B7847B" w14:textId="6408A958" w:rsidR="00BE6882" w:rsidRDefault="00BE6882" w:rsidP="00BE6882">
          <w:pPr>
            <w:pStyle w:val="Obsah1"/>
            <w:rPr>
              <w:rFonts w:asciiTheme="minorHAnsi" w:eastAsiaTheme="minorEastAsia" w:hAnsiTheme="minorHAnsi" w:cstheme="minorBidi"/>
              <w:noProof/>
              <w:kern w:val="2"/>
              <w:lang w:eastAsia="cs-CZ"/>
              <w14:ligatures w14:val="standardContextual"/>
            </w:rPr>
          </w:pPr>
          <w:hyperlink w:anchor="_Toc151583570" w:history="1">
            <w:r w:rsidRPr="003879CB">
              <w:rPr>
                <w:rStyle w:val="Hypertextovodkaz"/>
                <w:noProof/>
              </w:rPr>
              <w:t>2.</w:t>
            </w:r>
            <w:r>
              <w:rPr>
                <w:rFonts w:asciiTheme="minorHAnsi" w:eastAsiaTheme="minorEastAsia" w:hAnsiTheme="minorHAnsi" w:cstheme="minorBidi"/>
                <w:noProof/>
                <w:kern w:val="2"/>
                <w:lang w:eastAsia="cs-CZ"/>
                <w14:ligatures w14:val="standardContextual"/>
              </w:rPr>
              <w:tab/>
            </w:r>
            <w:r w:rsidRPr="003879CB">
              <w:rPr>
                <w:rStyle w:val="Hypertextovodkaz"/>
                <w:noProof/>
              </w:rPr>
              <w:t>Kritéria k zásadě „významně nepoškozovat“</w:t>
            </w:r>
            <w:r>
              <w:rPr>
                <w:noProof/>
                <w:webHidden/>
              </w:rPr>
              <w:tab/>
            </w:r>
            <w:r>
              <w:rPr>
                <w:noProof/>
                <w:webHidden/>
              </w:rPr>
              <w:fldChar w:fldCharType="begin"/>
            </w:r>
            <w:r>
              <w:rPr>
                <w:noProof/>
                <w:webHidden/>
              </w:rPr>
              <w:instrText xml:space="preserve"> PAGEREF _Toc151583570 \h </w:instrText>
            </w:r>
            <w:r>
              <w:rPr>
                <w:noProof/>
                <w:webHidden/>
              </w:rPr>
            </w:r>
            <w:r>
              <w:rPr>
                <w:noProof/>
                <w:webHidden/>
              </w:rPr>
              <w:fldChar w:fldCharType="separate"/>
            </w:r>
            <w:r>
              <w:rPr>
                <w:noProof/>
                <w:webHidden/>
              </w:rPr>
              <w:t>3</w:t>
            </w:r>
            <w:r>
              <w:rPr>
                <w:noProof/>
                <w:webHidden/>
              </w:rPr>
              <w:fldChar w:fldCharType="end"/>
            </w:r>
          </w:hyperlink>
        </w:p>
        <w:p w14:paraId="5F621256" w14:textId="0D743DB0" w:rsidR="00BE6882" w:rsidRDefault="00BE6882" w:rsidP="00E4133C">
          <w:pPr>
            <w:pStyle w:val="Obsah2"/>
            <w:tabs>
              <w:tab w:val="left" w:pos="660"/>
            </w:tabs>
            <w:ind w:left="0"/>
            <w:rPr>
              <w:rFonts w:asciiTheme="minorHAnsi" w:eastAsiaTheme="minorEastAsia" w:hAnsiTheme="minorHAnsi" w:cstheme="minorBidi"/>
              <w:noProof/>
              <w:kern w:val="2"/>
              <w:lang w:eastAsia="cs-CZ"/>
              <w14:ligatures w14:val="standardContextual"/>
            </w:rPr>
          </w:pPr>
          <w:hyperlink w:anchor="_Toc151583571" w:history="1">
            <w:r w:rsidRPr="003879CB">
              <w:rPr>
                <w:rStyle w:val="Hypertextovodkaz"/>
                <w:noProof/>
              </w:rPr>
              <w:t>3.</w:t>
            </w:r>
            <w:r w:rsidR="00410841">
              <w:rPr>
                <w:rFonts w:asciiTheme="minorHAnsi" w:eastAsiaTheme="minorEastAsia" w:hAnsiTheme="minorHAnsi" w:cstheme="minorBidi"/>
                <w:noProof/>
                <w:kern w:val="2"/>
                <w:lang w:eastAsia="cs-CZ"/>
                <w14:ligatures w14:val="standardContextual"/>
              </w:rPr>
              <w:t xml:space="preserve">     </w:t>
            </w:r>
            <w:r w:rsidRPr="003879CB">
              <w:rPr>
                <w:rStyle w:val="Hypertextovodkaz"/>
                <w:noProof/>
              </w:rPr>
              <w:t>Popis prověření přizpůsobení se změně klimatu a příklady opatření</w:t>
            </w:r>
            <w:r>
              <w:rPr>
                <w:noProof/>
                <w:webHidden/>
              </w:rPr>
              <w:tab/>
            </w:r>
            <w:r>
              <w:rPr>
                <w:noProof/>
                <w:webHidden/>
              </w:rPr>
              <w:fldChar w:fldCharType="begin"/>
            </w:r>
            <w:r>
              <w:rPr>
                <w:noProof/>
                <w:webHidden/>
              </w:rPr>
              <w:instrText xml:space="preserve"> PAGEREF _Toc151583571 \h </w:instrText>
            </w:r>
            <w:r>
              <w:rPr>
                <w:noProof/>
                <w:webHidden/>
              </w:rPr>
            </w:r>
            <w:r>
              <w:rPr>
                <w:noProof/>
                <w:webHidden/>
              </w:rPr>
              <w:fldChar w:fldCharType="separate"/>
            </w:r>
            <w:r>
              <w:rPr>
                <w:noProof/>
                <w:webHidden/>
              </w:rPr>
              <w:t>5</w:t>
            </w:r>
            <w:r>
              <w:rPr>
                <w:noProof/>
                <w:webHidden/>
              </w:rPr>
              <w:fldChar w:fldCharType="end"/>
            </w:r>
          </w:hyperlink>
        </w:p>
        <w:p w14:paraId="50665B29" w14:textId="0D3A82A1" w:rsidR="00BE6882" w:rsidRDefault="00BE6882" w:rsidP="00BE6882">
          <w:pPr>
            <w:pStyle w:val="Obsah1"/>
            <w:rPr>
              <w:rFonts w:asciiTheme="minorHAnsi" w:eastAsiaTheme="minorEastAsia" w:hAnsiTheme="minorHAnsi" w:cstheme="minorBidi"/>
              <w:noProof/>
              <w:kern w:val="2"/>
              <w:lang w:eastAsia="cs-CZ"/>
              <w14:ligatures w14:val="standardContextual"/>
            </w:rPr>
          </w:pPr>
          <w:hyperlink w:anchor="_Toc151583572" w:history="1">
            <w:r w:rsidRPr="003879CB">
              <w:rPr>
                <w:rStyle w:val="Hypertextovodkaz"/>
                <w:noProof/>
              </w:rPr>
              <w:t>4.</w:t>
            </w:r>
            <w:r>
              <w:rPr>
                <w:rFonts w:asciiTheme="minorHAnsi" w:eastAsiaTheme="minorEastAsia" w:hAnsiTheme="minorHAnsi" w:cstheme="minorBidi"/>
                <w:noProof/>
                <w:kern w:val="2"/>
                <w:lang w:eastAsia="cs-CZ"/>
                <w14:ligatures w14:val="standardContextual"/>
              </w:rPr>
              <w:tab/>
            </w:r>
            <w:r w:rsidRPr="003879CB">
              <w:rPr>
                <w:rStyle w:val="Hypertextovodkaz"/>
                <w:noProof/>
              </w:rPr>
              <w:t>Čestné prohlášení</w:t>
            </w:r>
            <w:r>
              <w:rPr>
                <w:noProof/>
                <w:webHidden/>
              </w:rPr>
              <w:tab/>
            </w:r>
            <w:r>
              <w:rPr>
                <w:noProof/>
                <w:webHidden/>
              </w:rPr>
              <w:fldChar w:fldCharType="begin"/>
            </w:r>
            <w:r>
              <w:rPr>
                <w:noProof/>
                <w:webHidden/>
              </w:rPr>
              <w:instrText xml:space="preserve"> PAGEREF _Toc151583572 \h </w:instrText>
            </w:r>
            <w:r>
              <w:rPr>
                <w:noProof/>
                <w:webHidden/>
              </w:rPr>
            </w:r>
            <w:r>
              <w:rPr>
                <w:noProof/>
                <w:webHidden/>
              </w:rPr>
              <w:fldChar w:fldCharType="separate"/>
            </w:r>
            <w:r>
              <w:rPr>
                <w:noProof/>
                <w:webHidden/>
              </w:rPr>
              <w:t>7</w:t>
            </w:r>
            <w:r>
              <w:rPr>
                <w:noProof/>
                <w:webHidden/>
              </w:rPr>
              <w:fldChar w:fldCharType="end"/>
            </w:r>
          </w:hyperlink>
        </w:p>
        <w:p w14:paraId="1F24BCBA" w14:textId="21155E9D" w:rsidR="008010CE" w:rsidRDefault="008010CE" w:rsidP="00BE6882">
          <w:r>
            <w:rPr>
              <w:b/>
              <w:bCs/>
            </w:rPr>
            <w:fldChar w:fldCharType="end"/>
          </w:r>
        </w:p>
      </w:sdtContent>
    </w:sdt>
    <w:p w14:paraId="4A23FBED" w14:textId="77777777" w:rsidR="008010CE" w:rsidRPr="00711EF9" w:rsidRDefault="008010CE" w:rsidP="00E86E5F">
      <w:pPr>
        <w:spacing w:before="120"/>
        <w:jc w:val="both"/>
        <w:rPr>
          <w:rFonts w:asciiTheme="minorHAnsi" w:hAnsiTheme="minorHAnsi" w:cstheme="minorHAnsi"/>
          <w:b/>
          <w:sz w:val="22"/>
          <w:szCs w:val="22"/>
        </w:rPr>
      </w:pPr>
    </w:p>
    <w:p w14:paraId="03683AFC" w14:textId="77777777" w:rsidR="00BE6882" w:rsidRDefault="00BE6882" w:rsidP="00BE6882">
      <w:pPr>
        <w:spacing w:before="120" w:after="160"/>
        <w:ind w:left="284" w:hanging="142"/>
        <w:jc w:val="both"/>
        <w:rPr>
          <w:rFonts w:asciiTheme="minorHAnsi" w:hAnsiTheme="minorHAnsi" w:cstheme="minorHAnsi"/>
          <w:sz w:val="22"/>
          <w:szCs w:val="22"/>
        </w:rPr>
      </w:pPr>
    </w:p>
    <w:p w14:paraId="2A6A9BC2" w14:textId="77777777" w:rsidR="00BE6882" w:rsidRDefault="00BE6882" w:rsidP="00BE6882">
      <w:pPr>
        <w:spacing w:before="120" w:after="160"/>
        <w:ind w:left="284" w:hanging="142"/>
        <w:jc w:val="both"/>
        <w:rPr>
          <w:rFonts w:asciiTheme="minorHAnsi" w:hAnsiTheme="minorHAnsi" w:cstheme="minorHAnsi"/>
          <w:sz w:val="22"/>
          <w:szCs w:val="22"/>
        </w:rPr>
      </w:pPr>
    </w:p>
    <w:p w14:paraId="6CB89147" w14:textId="77777777" w:rsidR="00BE6882" w:rsidRDefault="00BE6882" w:rsidP="00BE6882">
      <w:pPr>
        <w:spacing w:before="120" w:after="160"/>
        <w:ind w:left="284" w:hanging="142"/>
        <w:jc w:val="both"/>
        <w:rPr>
          <w:rFonts w:asciiTheme="minorHAnsi" w:hAnsiTheme="minorHAnsi" w:cstheme="minorHAnsi"/>
          <w:sz w:val="22"/>
          <w:szCs w:val="22"/>
        </w:rPr>
      </w:pPr>
    </w:p>
    <w:p w14:paraId="2C3D4943" w14:textId="77777777" w:rsidR="00BE6882" w:rsidRDefault="00BE6882" w:rsidP="00BE6882">
      <w:pPr>
        <w:spacing w:before="120" w:after="160"/>
        <w:ind w:left="284" w:hanging="142"/>
        <w:jc w:val="both"/>
        <w:rPr>
          <w:rFonts w:asciiTheme="minorHAnsi" w:hAnsiTheme="minorHAnsi" w:cstheme="minorHAnsi"/>
          <w:sz w:val="22"/>
          <w:szCs w:val="22"/>
        </w:rPr>
      </w:pPr>
    </w:p>
    <w:p w14:paraId="1C41A342" w14:textId="77777777" w:rsidR="00BE6882" w:rsidRDefault="00BE6882" w:rsidP="00BE6882">
      <w:pPr>
        <w:spacing w:before="120" w:after="160"/>
        <w:ind w:left="284" w:hanging="142"/>
        <w:jc w:val="both"/>
        <w:rPr>
          <w:rFonts w:asciiTheme="minorHAnsi" w:hAnsiTheme="minorHAnsi" w:cstheme="minorHAnsi"/>
          <w:sz w:val="22"/>
          <w:szCs w:val="22"/>
        </w:rPr>
      </w:pPr>
    </w:p>
    <w:p w14:paraId="6F34917F" w14:textId="77777777" w:rsidR="00BE6882" w:rsidRDefault="00BE6882" w:rsidP="00BE6882">
      <w:pPr>
        <w:spacing w:before="120" w:after="160"/>
        <w:ind w:left="284" w:hanging="142"/>
        <w:jc w:val="both"/>
        <w:rPr>
          <w:rFonts w:asciiTheme="minorHAnsi" w:hAnsiTheme="minorHAnsi" w:cstheme="minorHAnsi"/>
          <w:sz w:val="22"/>
          <w:szCs w:val="22"/>
        </w:rPr>
      </w:pPr>
    </w:p>
    <w:p w14:paraId="659650EF" w14:textId="220D3199" w:rsidR="004D0C3B" w:rsidRPr="008010CE" w:rsidRDefault="00B668F3" w:rsidP="00E4133C">
      <w:pPr>
        <w:spacing w:before="120" w:after="160"/>
        <w:ind w:left="284" w:hanging="142"/>
        <w:jc w:val="both"/>
        <w:rPr>
          <w:rFonts w:asciiTheme="minorHAnsi" w:hAnsiTheme="minorHAnsi" w:cstheme="minorHAnsi"/>
          <w:b/>
          <w:i/>
          <w:sz w:val="22"/>
          <w:szCs w:val="22"/>
          <w:u w:val="single"/>
        </w:rPr>
      </w:pP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p>
    <w:p w14:paraId="2801039D" w14:textId="77777777" w:rsidR="004D0C3B" w:rsidRDefault="004D0C3B" w:rsidP="00E86E5F">
      <w:pPr>
        <w:spacing w:before="120"/>
        <w:jc w:val="both"/>
        <w:rPr>
          <w:rFonts w:asciiTheme="minorHAnsi" w:hAnsiTheme="minorHAnsi" w:cstheme="minorHAnsi"/>
          <w:b/>
          <w:i/>
          <w:sz w:val="22"/>
          <w:szCs w:val="22"/>
          <w:u w:val="single"/>
        </w:rPr>
      </w:pPr>
    </w:p>
    <w:p w14:paraId="564448BE" w14:textId="14A7904B" w:rsidR="00E86E5F" w:rsidRPr="00711EF9" w:rsidRDefault="00E86E5F" w:rsidP="00C354C7">
      <w:pPr>
        <w:jc w:val="both"/>
        <w:rPr>
          <w:rFonts w:asciiTheme="minorHAnsi" w:hAnsiTheme="minorHAnsi" w:cstheme="minorHAnsi"/>
          <w:b/>
          <w:sz w:val="22"/>
          <w:szCs w:val="22"/>
        </w:rPr>
      </w:pPr>
    </w:p>
    <w:p w14:paraId="64D7E3FB" w14:textId="77777777" w:rsidR="00E86E5F" w:rsidRPr="00711EF9" w:rsidRDefault="00E86E5F" w:rsidP="00C354C7">
      <w:pPr>
        <w:jc w:val="both"/>
        <w:rPr>
          <w:rFonts w:asciiTheme="minorHAnsi" w:hAnsiTheme="minorHAnsi" w:cstheme="minorHAnsi"/>
          <w:b/>
          <w:sz w:val="22"/>
          <w:szCs w:val="22"/>
        </w:rPr>
      </w:pPr>
    </w:p>
    <w:p w14:paraId="2D499B81" w14:textId="77777777" w:rsidR="00732A8B" w:rsidRPr="00711EF9" w:rsidRDefault="00732A8B" w:rsidP="00C354C7">
      <w:pPr>
        <w:jc w:val="both"/>
        <w:rPr>
          <w:rFonts w:asciiTheme="minorHAnsi" w:hAnsiTheme="minorHAnsi" w:cstheme="minorHAnsi"/>
          <w:b/>
          <w:sz w:val="22"/>
          <w:szCs w:val="22"/>
        </w:rPr>
      </w:pPr>
    </w:p>
    <w:p w14:paraId="1B0898EB" w14:textId="77777777" w:rsidR="00C64A88" w:rsidRDefault="00C64A88" w:rsidP="00C64A88">
      <w:pPr>
        <w:pStyle w:val="Nadpis1"/>
        <w:spacing w:before="240" w:line="293" w:lineRule="auto"/>
        <w:ind w:left="284"/>
        <w:rPr>
          <w:rFonts w:asciiTheme="minorHAnsi" w:hAnsiTheme="minorHAnsi" w:cstheme="minorHAnsi"/>
          <w:sz w:val="22"/>
          <w:szCs w:val="22"/>
        </w:rPr>
      </w:pPr>
      <w:bookmarkStart w:id="0" w:name="_Toc124516525"/>
      <w:bookmarkStart w:id="1" w:name="_Toc124517408"/>
    </w:p>
    <w:p w14:paraId="2A8B32F4" w14:textId="6E008FB4" w:rsidR="00FA78F2" w:rsidRPr="00F56908" w:rsidRDefault="008010CE" w:rsidP="00F56908">
      <w:pPr>
        <w:pStyle w:val="Nadpis1"/>
        <w:numPr>
          <w:ilvl w:val="0"/>
          <w:numId w:val="29"/>
        </w:numPr>
      </w:pPr>
      <w:bookmarkStart w:id="2" w:name="_Toc151583569"/>
      <w:r w:rsidRPr="00F56908">
        <w:t>Vyloučené aktivity</w:t>
      </w:r>
      <w:bookmarkEnd w:id="2"/>
      <w:r w:rsidRPr="00F56908">
        <w:t xml:space="preserve"> </w:t>
      </w:r>
      <w:bookmarkEnd w:id="0"/>
      <w:bookmarkEnd w:id="1"/>
    </w:p>
    <w:p w14:paraId="2E4BD307" w14:textId="259654A5" w:rsidR="00F56908" w:rsidRDefault="00F56908" w:rsidP="00771888">
      <w:pPr>
        <w:rPr>
          <w:rFonts w:asciiTheme="minorHAnsi" w:hAnsiTheme="minorHAnsi" w:cstheme="minorHAnsi"/>
          <w:i/>
          <w:sz w:val="22"/>
          <w:szCs w:val="22"/>
        </w:rPr>
      </w:pPr>
    </w:p>
    <w:p w14:paraId="078F7332" w14:textId="77777777" w:rsidR="00F56908" w:rsidRPr="00F56908" w:rsidRDefault="00F56908" w:rsidP="00F56908">
      <w:pPr>
        <w:spacing w:before="120"/>
        <w:ind w:firstLine="360"/>
        <w:jc w:val="both"/>
        <w:rPr>
          <w:sz w:val="22"/>
          <w:szCs w:val="22"/>
        </w:rPr>
      </w:pPr>
      <w:r w:rsidRPr="00F56908">
        <w:rPr>
          <w:sz w:val="22"/>
          <w:szCs w:val="22"/>
        </w:rPr>
        <w:t xml:space="preserve">Projekt </w:t>
      </w:r>
      <w:r w:rsidRPr="00F56908">
        <w:rPr>
          <w:b/>
          <w:sz w:val="22"/>
          <w:szCs w:val="22"/>
        </w:rPr>
        <w:t>není zaměřen</w:t>
      </w:r>
      <w:r w:rsidRPr="00F56908">
        <w:rPr>
          <w:sz w:val="22"/>
          <w:szCs w:val="22"/>
        </w:rPr>
        <w:t xml:space="preserve"> na investice: </w:t>
      </w:r>
    </w:p>
    <w:p w14:paraId="2542EDC7" w14:textId="77777777" w:rsidR="00F56908" w:rsidRPr="00F56908" w:rsidRDefault="00F56908" w:rsidP="00F56908">
      <w:pPr>
        <w:pStyle w:val="Odstavecseseznamem"/>
        <w:numPr>
          <w:ilvl w:val="0"/>
          <w:numId w:val="30"/>
        </w:numPr>
        <w:spacing w:after="120" w:line="293" w:lineRule="auto"/>
        <w:contextualSpacing w:val="0"/>
        <w:jc w:val="both"/>
        <w:rPr>
          <w:sz w:val="22"/>
          <w:szCs w:val="22"/>
        </w:rPr>
      </w:pPr>
      <w:r w:rsidRPr="00F56908">
        <w:rPr>
          <w:sz w:val="22"/>
          <w:szCs w:val="22"/>
        </w:rPr>
        <w:t>související s výrobou, zpracováním, přepravou, distribucí, skladováním nebo spalováním fosilních paliv, kromě:</w:t>
      </w:r>
    </w:p>
    <w:p w14:paraId="13A8B001" w14:textId="2F83AFDC" w:rsidR="00F56908" w:rsidRPr="00F56908" w:rsidRDefault="00F56908" w:rsidP="00F56908">
      <w:pPr>
        <w:pStyle w:val="Odstavecseseznamem"/>
        <w:numPr>
          <w:ilvl w:val="0"/>
          <w:numId w:val="31"/>
        </w:numPr>
        <w:spacing w:after="120" w:line="276" w:lineRule="auto"/>
        <w:contextualSpacing w:val="0"/>
        <w:jc w:val="both"/>
        <w:rPr>
          <w:sz w:val="22"/>
          <w:szCs w:val="22"/>
        </w:rPr>
      </w:pPr>
      <w:r w:rsidRPr="00F56908">
        <w:rPr>
          <w:sz w:val="22"/>
          <w:szCs w:val="22"/>
        </w:rPr>
        <w:t>výjimek dle čl. 7, odst. 1(h) Nařízení Evropského parlamentu a Rady (EU) 2021/1058 ze dne 24. června 2021 o Evropském fondu pro regionální rozvoj a o Fondu soudržnosti;</w:t>
      </w:r>
      <w:r w:rsidR="0004025F">
        <w:rPr>
          <w:rStyle w:val="Znakapoznpodarou"/>
          <w:sz w:val="22"/>
          <w:szCs w:val="22"/>
        </w:rPr>
        <w:footnoteReference w:id="2"/>
      </w:r>
      <w:r w:rsidRPr="00F56908">
        <w:rPr>
          <w:sz w:val="22"/>
          <w:szCs w:val="22"/>
        </w:rPr>
        <w:t xml:space="preserve"> </w:t>
      </w:r>
    </w:p>
    <w:p w14:paraId="4974DF7E"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 xml:space="preserve">jejichž cílem je snižování emisí skleníkových plynů pocházejících z činností, které jsou uvedeny v příloze I směrnice 2003/87/ES (zařízení zařazená do systému EU pro obchodování s povolenkami na emise skleníkových plynů); </w:t>
      </w:r>
    </w:p>
    <w:p w14:paraId="23AEC967"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v rámci systému EU pro obchodování s emisemi (ETS) dosahujících předpokládaných emisí skleníkových plynů, které nejsou nižší než příslušné referenční hodnoty;</w:t>
      </w:r>
      <w:r w:rsidRPr="00F56908">
        <w:rPr>
          <w:rStyle w:val="Znakapoznpodarou"/>
          <w:sz w:val="22"/>
          <w:szCs w:val="22"/>
        </w:rPr>
        <w:footnoteReference w:id="3"/>
      </w:r>
    </w:p>
    <w:p w14:paraId="03714C17"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související se skládkami odpadů, spalovnami a zařízeními na zpracování zbytkového odpadu s výjimkou investic do technologií pro získávání materiálů ze zbytkového odpadu pro účely oběhového hospodářství.</w:t>
      </w:r>
    </w:p>
    <w:p w14:paraId="133A020E" w14:textId="001DAAB3" w:rsidR="00F56908" w:rsidRDefault="00F56908" w:rsidP="00771888">
      <w:pPr>
        <w:rPr>
          <w:rFonts w:asciiTheme="minorHAnsi" w:hAnsiTheme="minorHAnsi" w:cstheme="minorHAnsi"/>
          <w:i/>
          <w:sz w:val="22"/>
          <w:szCs w:val="22"/>
        </w:rPr>
      </w:pPr>
    </w:p>
    <w:p w14:paraId="115FDAFC" w14:textId="77777777" w:rsidR="00C64A88" w:rsidRDefault="00C64A88" w:rsidP="00F56908">
      <w:pPr>
        <w:pStyle w:val="Nadpis1"/>
        <w:spacing w:before="0"/>
        <w:rPr>
          <w:rFonts w:asciiTheme="minorHAnsi" w:hAnsiTheme="minorHAnsi" w:cstheme="minorHAnsi"/>
          <w:sz w:val="22"/>
          <w:szCs w:val="22"/>
        </w:rPr>
      </w:pPr>
      <w:bookmarkStart w:id="3" w:name="_Toc124516526"/>
      <w:bookmarkStart w:id="4" w:name="_Toc124517409"/>
    </w:p>
    <w:p w14:paraId="438D0C85" w14:textId="20956BA0" w:rsidR="008010CE" w:rsidRPr="00F56908" w:rsidRDefault="008010CE" w:rsidP="00F56908">
      <w:pPr>
        <w:pStyle w:val="Nadpis1"/>
        <w:numPr>
          <w:ilvl w:val="0"/>
          <w:numId w:val="29"/>
        </w:numPr>
      </w:pPr>
      <w:bookmarkStart w:id="5" w:name="_Toc151583570"/>
      <w:r>
        <w:t>Kritéria k zásadě „významně nepoškozovat“</w:t>
      </w:r>
      <w:r w:rsidR="00B95571">
        <w:rPr>
          <w:rStyle w:val="Znakapoznpodarou"/>
        </w:rPr>
        <w:footnoteReference w:id="4"/>
      </w:r>
      <w:bookmarkEnd w:id="5"/>
      <w:r>
        <w:t xml:space="preserve"> </w:t>
      </w:r>
      <w:bookmarkEnd w:id="3"/>
      <w:bookmarkEnd w:id="4"/>
    </w:p>
    <w:p w14:paraId="12A0F109" w14:textId="603B3216" w:rsidR="00B95571" w:rsidRPr="00B95571" w:rsidRDefault="00B95571" w:rsidP="003A7860"/>
    <w:p w14:paraId="4CD00B8F" w14:textId="63772DF5" w:rsidR="00B95571" w:rsidRDefault="00B95571" w:rsidP="003A7860">
      <w:pPr>
        <w:jc w:val="both"/>
        <w:rPr>
          <w:sz w:val="22"/>
          <w:szCs w:val="22"/>
        </w:rPr>
      </w:pPr>
      <w:r w:rsidRPr="00F56908">
        <w:rPr>
          <w:sz w:val="22"/>
          <w:szCs w:val="22"/>
        </w:rPr>
        <w:t>Tato kritéria se týkají poř</w:t>
      </w:r>
      <w:r>
        <w:rPr>
          <w:sz w:val="22"/>
          <w:szCs w:val="22"/>
        </w:rPr>
        <w:t>izovaného</w:t>
      </w:r>
      <w:r w:rsidRPr="00F56908">
        <w:rPr>
          <w:sz w:val="22"/>
          <w:szCs w:val="22"/>
        </w:rPr>
        <w:t xml:space="preserve"> dlouhodobého hmotného majetku, tzn. technologického strojního zařízení včetně stavebních prací souvisejících s instalací zařízení do stávajících objektů.</w:t>
      </w:r>
    </w:p>
    <w:p w14:paraId="76AEE76D" w14:textId="31232623" w:rsidR="003A7860" w:rsidRPr="003A7860" w:rsidRDefault="003A7860" w:rsidP="003A7860">
      <w:pPr>
        <w:spacing w:before="12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Dané podmínky jsou závazné pro celý projektový cyklus realizace projektu, </w:t>
      </w:r>
      <w:r w:rsidRPr="00E4133C">
        <w:rPr>
          <w:rFonts w:asciiTheme="minorHAnsi" w:hAnsiTheme="minorHAnsi" w:cstheme="minorHAnsi"/>
          <w:b/>
          <w:color w:val="000000"/>
          <w:sz w:val="22"/>
          <w:szCs w:val="22"/>
        </w:rPr>
        <w:t>ve fázi podání projektu žadatel stvrzuje jejich plnění podpisem čestného prohlášení uvedeného v kapitole 4. tohoto formuláře</w:t>
      </w:r>
    </w:p>
    <w:p w14:paraId="3BC3157D" w14:textId="77777777" w:rsidR="008010CE" w:rsidRPr="00711EF9" w:rsidRDefault="008010CE" w:rsidP="00F56908">
      <w:pPr>
        <w:rPr>
          <w:u w:val="single"/>
        </w:rPr>
      </w:pPr>
    </w:p>
    <w:p w14:paraId="7BDF73CF" w14:textId="41EB3110"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 xml:space="preserve">Zmírňování změny klimatu </w:t>
      </w:r>
    </w:p>
    <w:p w14:paraId="19CADA6C" w14:textId="77777777" w:rsidR="00C75760" w:rsidRPr="00711EF9" w:rsidRDefault="00C75760" w:rsidP="00C75760">
      <w:pPr>
        <w:autoSpaceDE w:val="0"/>
        <w:autoSpaceDN w:val="0"/>
        <w:adjustRightInd w:val="0"/>
        <w:rPr>
          <w:rFonts w:asciiTheme="minorHAnsi" w:hAnsiTheme="minorHAnsi" w:cstheme="minorHAnsi"/>
          <w:b/>
          <w:color w:val="000000"/>
          <w:sz w:val="22"/>
          <w:szCs w:val="22"/>
          <w:u w:val="single"/>
        </w:rPr>
      </w:pPr>
    </w:p>
    <w:p w14:paraId="082E1448" w14:textId="3C4C3247" w:rsidR="00C75760" w:rsidRPr="00711EF9" w:rsidRDefault="00C75760" w:rsidP="00274056">
      <w:pPr>
        <w:autoSpaceDE w:val="0"/>
        <w:autoSpaceDN w:val="0"/>
        <w:adjustRightInd w:val="0"/>
        <w:spacing w:after="12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zmírňování změny klimatu, pokud nevedou k významným emisím skleníkových plynů.</w:t>
      </w:r>
    </w:p>
    <w:tbl>
      <w:tblPr>
        <w:tblStyle w:val="Mkatabulky2"/>
        <w:tblW w:w="0" w:type="auto"/>
        <w:tblLook w:val="04A0" w:firstRow="1" w:lastRow="0" w:firstColumn="1" w:lastColumn="0" w:noHBand="0" w:noVBand="1"/>
      </w:tblPr>
      <w:tblGrid>
        <w:gridCol w:w="9628"/>
      </w:tblGrid>
      <w:tr w:rsidR="003A7860" w:rsidRPr="00711EF9" w14:paraId="33D3EF97" w14:textId="77777777" w:rsidTr="00CD6A69">
        <w:tc>
          <w:tcPr>
            <w:tcW w:w="9628" w:type="dxa"/>
          </w:tcPr>
          <w:p w14:paraId="198F91AA" w14:textId="513E169B" w:rsidR="003A7860" w:rsidRPr="00B63E7D" w:rsidRDefault="00770660" w:rsidP="00B63E7D">
            <w:pPr>
              <w:autoSpaceDE w:val="0"/>
              <w:autoSpaceDN w:val="0"/>
              <w:adjustRightInd w:val="0"/>
              <w:rPr>
                <w:rFonts w:asciiTheme="minorHAnsi" w:eastAsiaTheme="minorHAnsi" w:hAnsiTheme="minorHAnsi" w:cstheme="minorHAnsi"/>
                <w:color w:val="000000"/>
                <w:sz w:val="22"/>
                <w:szCs w:val="22"/>
              </w:rPr>
            </w:pPr>
            <w:r w:rsidRPr="00B63E7D">
              <w:rPr>
                <w:b/>
                <w:sz w:val="22"/>
                <w:szCs w:val="22"/>
              </w:rPr>
              <w:t>Podmínky pro projekty zahrnující investice do zařízení spojených se spotřebou energie (technologie, strojní zařízení):</w:t>
            </w:r>
          </w:p>
        </w:tc>
      </w:tr>
      <w:tr w:rsidR="004D13A9" w:rsidRPr="00711EF9" w14:paraId="146378C6" w14:textId="77777777" w:rsidTr="00CD6A69">
        <w:tc>
          <w:tcPr>
            <w:tcW w:w="9628" w:type="dxa"/>
          </w:tcPr>
          <w:p w14:paraId="0968CBEA" w14:textId="170A72D6" w:rsidR="004D13A9" w:rsidRPr="00B63E7D" w:rsidRDefault="00BC4F59" w:rsidP="00770660">
            <w:pPr>
              <w:autoSpaceDE w:val="0"/>
              <w:autoSpaceDN w:val="0"/>
              <w:adjustRightInd w:val="0"/>
              <w:rPr>
                <w:sz w:val="22"/>
                <w:szCs w:val="22"/>
              </w:rPr>
            </w:pPr>
            <w:r>
              <w:rPr>
                <w:rFonts w:cs="Calibri"/>
                <w:iCs/>
                <w:sz w:val="22"/>
                <w:szCs w:val="22"/>
                <w:shd w:val="clear" w:color="auto" w:fill="FFFFFF"/>
              </w:rPr>
              <w:t xml:space="preserve">Zařízení </w:t>
            </w:r>
            <w:r w:rsidR="004D13A9" w:rsidRPr="00B63E7D">
              <w:rPr>
                <w:rFonts w:cs="Calibri"/>
                <w:iCs/>
                <w:sz w:val="22"/>
                <w:szCs w:val="22"/>
                <w:shd w:val="clear" w:color="auto" w:fill="FFFFFF"/>
              </w:rPr>
              <w:t>budou zařazen</w:t>
            </w:r>
            <w:r w:rsidR="00BE6882">
              <w:rPr>
                <w:rFonts w:cs="Calibri"/>
                <w:iCs/>
                <w:sz w:val="22"/>
                <w:szCs w:val="22"/>
                <w:shd w:val="clear" w:color="auto" w:fill="FFFFFF"/>
              </w:rPr>
              <w:t>a</w:t>
            </w:r>
            <w:r w:rsidR="004D13A9" w:rsidRPr="00B63E7D">
              <w:rPr>
                <w:rFonts w:cs="Calibri"/>
                <w:iCs/>
                <w:sz w:val="22"/>
                <w:szCs w:val="22"/>
                <w:shd w:val="clear" w:color="auto" w:fill="FFFFFF"/>
              </w:rPr>
              <w:t xml:space="preserve"> do jedné ze dvou nejvyšších stupňů energetické účinnosti v</w:t>
            </w:r>
            <w:r w:rsidR="004D13A9">
              <w:rPr>
                <w:rFonts w:cs="Calibri"/>
                <w:iCs/>
                <w:sz w:val="22"/>
                <w:szCs w:val="22"/>
                <w:shd w:val="clear" w:color="auto" w:fill="FFFFFF"/>
              </w:rPr>
              <w:t> </w:t>
            </w:r>
            <w:r w:rsidR="004D13A9" w:rsidRPr="00B63E7D">
              <w:rPr>
                <w:rFonts w:cs="Calibri"/>
                <w:iCs/>
                <w:sz w:val="22"/>
                <w:szCs w:val="22"/>
                <w:shd w:val="clear" w:color="auto" w:fill="FFFFFF"/>
              </w:rPr>
              <w:t>souladu</w:t>
            </w:r>
            <w:r w:rsidR="004D13A9">
              <w:rPr>
                <w:rFonts w:cs="Calibri"/>
                <w:iCs/>
                <w:sz w:val="22"/>
                <w:szCs w:val="22"/>
                <w:shd w:val="clear" w:color="auto" w:fill="FFFFFF"/>
              </w:rPr>
              <w:t xml:space="preserve"> </w:t>
            </w:r>
            <w:r>
              <w:rPr>
                <w:rFonts w:cs="Calibri"/>
                <w:iCs/>
                <w:sz w:val="22"/>
                <w:szCs w:val="22"/>
                <w:shd w:val="clear" w:color="auto" w:fill="FFFFFF"/>
              </w:rPr>
              <w:t>s právními předpisy souvisejícími s označováním výrobků energetickými štítky</w:t>
            </w:r>
            <w:r w:rsidR="00BE6882">
              <w:rPr>
                <w:rFonts w:cs="Calibri"/>
                <w:iCs/>
                <w:sz w:val="22"/>
                <w:szCs w:val="22"/>
                <w:shd w:val="clear" w:color="auto" w:fill="FFFFFF"/>
              </w:rPr>
              <w:t>.</w:t>
            </w:r>
            <w:r w:rsidR="000D7D30">
              <w:rPr>
                <w:rStyle w:val="Znakapoznpodarou"/>
                <w:rFonts w:cs="Calibri"/>
                <w:iCs/>
                <w:sz w:val="22"/>
                <w:szCs w:val="22"/>
                <w:shd w:val="clear" w:color="auto" w:fill="FFFFFF"/>
              </w:rPr>
              <w:footnoteReference w:id="5"/>
            </w:r>
          </w:p>
        </w:tc>
      </w:tr>
    </w:tbl>
    <w:p w14:paraId="0E97F5B5" w14:textId="4E800673" w:rsidR="00C75760" w:rsidRDefault="00C75760" w:rsidP="00C354C7">
      <w:pPr>
        <w:jc w:val="both"/>
        <w:rPr>
          <w:rFonts w:asciiTheme="minorHAnsi" w:hAnsiTheme="minorHAnsi" w:cstheme="minorHAnsi"/>
          <w:b/>
          <w:sz w:val="22"/>
          <w:szCs w:val="22"/>
        </w:rPr>
      </w:pPr>
    </w:p>
    <w:p w14:paraId="2084427F" w14:textId="0CF7B803" w:rsidR="00E4133C" w:rsidRDefault="00E4133C" w:rsidP="00C354C7">
      <w:pPr>
        <w:jc w:val="both"/>
        <w:rPr>
          <w:rFonts w:asciiTheme="minorHAnsi" w:hAnsiTheme="minorHAnsi" w:cstheme="minorHAnsi"/>
          <w:b/>
          <w:sz w:val="22"/>
          <w:szCs w:val="22"/>
        </w:rPr>
      </w:pPr>
    </w:p>
    <w:p w14:paraId="165B1592" w14:textId="3F574AA5" w:rsidR="00E4133C" w:rsidRDefault="00E4133C" w:rsidP="00C354C7">
      <w:pPr>
        <w:jc w:val="both"/>
        <w:rPr>
          <w:rFonts w:asciiTheme="minorHAnsi" w:hAnsiTheme="minorHAnsi" w:cstheme="minorHAnsi"/>
          <w:b/>
          <w:sz w:val="22"/>
          <w:szCs w:val="22"/>
        </w:rPr>
      </w:pPr>
    </w:p>
    <w:p w14:paraId="12D77628" w14:textId="6EDCAAAE" w:rsidR="00E4133C" w:rsidRDefault="00E4133C" w:rsidP="00C354C7">
      <w:pPr>
        <w:jc w:val="both"/>
        <w:rPr>
          <w:rFonts w:asciiTheme="minorHAnsi" w:hAnsiTheme="minorHAnsi" w:cstheme="minorHAnsi"/>
          <w:b/>
          <w:sz w:val="22"/>
          <w:szCs w:val="22"/>
        </w:rPr>
      </w:pPr>
    </w:p>
    <w:p w14:paraId="228CC05C" w14:textId="77777777" w:rsidR="00E4133C" w:rsidRPr="00711EF9" w:rsidRDefault="00E4133C" w:rsidP="00C354C7">
      <w:pPr>
        <w:jc w:val="both"/>
        <w:rPr>
          <w:rFonts w:asciiTheme="minorHAnsi" w:hAnsiTheme="minorHAnsi" w:cstheme="minorHAnsi"/>
          <w:b/>
          <w:sz w:val="22"/>
          <w:szCs w:val="22"/>
        </w:rPr>
      </w:pPr>
    </w:p>
    <w:p w14:paraId="0678116B" w14:textId="77777777" w:rsidR="00C64A88" w:rsidRDefault="00C64A88" w:rsidP="00C64A88">
      <w:pPr>
        <w:pStyle w:val="Odstavecseseznamem"/>
        <w:ind w:left="284"/>
        <w:jc w:val="both"/>
        <w:rPr>
          <w:rFonts w:asciiTheme="minorHAnsi" w:hAnsiTheme="minorHAnsi" w:cstheme="minorHAnsi"/>
          <w:b/>
          <w:sz w:val="22"/>
          <w:szCs w:val="22"/>
          <w:u w:val="single"/>
        </w:rPr>
      </w:pPr>
    </w:p>
    <w:p w14:paraId="17BDE197" w14:textId="77777777" w:rsidR="001E38EA" w:rsidRDefault="001E38EA" w:rsidP="00C64A88">
      <w:pPr>
        <w:pStyle w:val="Odstavecseseznamem"/>
        <w:ind w:left="284"/>
        <w:jc w:val="both"/>
        <w:rPr>
          <w:rFonts w:asciiTheme="minorHAnsi" w:hAnsiTheme="minorHAnsi" w:cstheme="minorHAnsi"/>
          <w:b/>
          <w:sz w:val="22"/>
          <w:szCs w:val="22"/>
          <w:u w:val="single"/>
        </w:rPr>
      </w:pPr>
    </w:p>
    <w:p w14:paraId="4D7FCCA0" w14:textId="25609D1C" w:rsidR="00713948"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lastRenderedPageBreak/>
        <w:t>Přizpůsobování se změně klimatu</w:t>
      </w:r>
    </w:p>
    <w:p w14:paraId="7E65F3AF" w14:textId="77777777" w:rsidR="00C354C7" w:rsidRPr="00711EF9" w:rsidRDefault="00C354C7" w:rsidP="00C354C7">
      <w:pPr>
        <w:jc w:val="both"/>
        <w:rPr>
          <w:rFonts w:asciiTheme="minorHAnsi" w:hAnsiTheme="minorHAnsi" w:cstheme="minorHAnsi"/>
          <w:b/>
          <w:sz w:val="22"/>
          <w:szCs w:val="22"/>
        </w:rPr>
      </w:pPr>
    </w:p>
    <w:p w14:paraId="2EF2B91C" w14:textId="77777777" w:rsidR="00E918C9" w:rsidRPr="00711EF9" w:rsidRDefault="00E918C9" w:rsidP="00E918C9">
      <w:pPr>
        <w:autoSpaceDE w:val="0"/>
        <w:autoSpaceDN w:val="0"/>
        <w:adjustRightInd w:val="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přizpůsobování se změně klimatu, pokud nevedou k nárůstu nepříznivého dopadu stávajícího a očekávaného budoucího klimatu na tuto aktivitu nebo na lidi, přírodu nebo majetek.</w:t>
      </w:r>
    </w:p>
    <w:p w14:paraId="2F2139E7" w14:textId="101E9379" w:rsidR="00C354C7" w:rsidRDefault="00C354C7" w:rsidP="00C354C7">
      <w:pPr>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9628"/>
      </w:tblGrid>
      <w:tr w:rsidR="00F41FE5" w14:paraId="6429DCB7" w14:textId="77777777" w:rsidTr="007C0394">
        <w:tc>
          <w:tcPr>
            <w:tcW w:w="9628" w:type="dxa"/>
          </w:tcPr>
          <w:p w14:paraId="49A6EB23" w14:textId="7B44C564" w:rsidR="00F41FE5" w:rsidRPr="00E4133C" w:rsidRDefault="00F41FE5" w:rsidP="00F41FE5">
            <w:pPr>
              <w:pStyle w:val="Default"/>
              <w:jc w:val="both"/>
              <w:rPr>
                <w:rFonts w:asciiTheme="minorHAnsi" w:hAnsiTheme="minorHAnsi" w:cstheme="minorHAnsi"/>
                <w:b/>
                <w:bCs/>
                <w:sz w:val="22"/>
                <w:szCs w:val="22"/>
              </w:rPr>
            </w:pPr>
            <w:proofErr w:type="spellStart"/>
            <w:r w:rsidRPr="00E4133C">
              <w:rPr>
                <w:rFonts w:asciiTheme="minorHAnsi" w:hAnsiTheme="minorHAnsi" w:cstheme="minorHAnsi"/>
                <w:sz w:val="22"/>
                <w:szCs w:val="22"/>
              </w:rPr>
              <w:t>Byly</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prověřeny</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možnosti</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zapracování</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vhodných</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adaptačních</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opatření</w:t>
            </w:r>
            <w:proofErr w:type="spellEnd"/>
            <w:r w:rsidRPr="00E4133C">
              <w:rPr>
                <w:rFonts w:asciiTheme="minorHAnsi" w:hAnsiTheme="minorHAnsi" w:cstheme="minorHAnsi"/>
                <w:sz w:val="22"/>
                <w:szCs w:val="22"/>
              </w:rPr>
              <w:t xml:space="preserve"> pro </w:t>
            </w:r>
            <w:proofErr w:type="spellStart"/>
            <w:r w:rsidRPr="00E4133C">
              <w:rPr>
                <w:rFonts w:asciiTheme="minorHAnsi" w:hAnsiTheme="minorHAnsi" w:cstheme="minorHAnsi"/>
                <w:sz w:val="22"/>
                <w:szCs w:val="22"/>
              </w:rPr>
              <w:t>nejvýznamnější</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klimatická</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rizika</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identifikovaná</w:t>
            </w:r>
            <w:proofErr w:type="spellEnd"/>
            <w:r w:rsidRPr="00E4133C">
              <w:rPr>
                <w:rFonts w:asciiTheme="minorHAnsi" w:hAnsiTheme="minorHAnsi" w:cstheme="minorHAnsi"/>
                <w:sz w:val="22"/>
                <w:szCs w:val="22"/>
              </w:rPr>
              <w:t xml:space="preserve"> pro </w:t>
            </w:r>
            <w:proofErr w:type="spellStart"/>
            <w:r w:rsidRPr="00E4133C">
              <w:rPr>
                <w:rFonts w:asciiTheme="minorHAnsi" w:hAnsiTheme="minorHAnsi" w:cstheme="minorHAnsi"/>
                <w:sz w:val="22"/>
                <w:szCs w:val="22"/>
              </w:rPr>
              <w:t>území</w:t>
            </w:r>
            <w:proofErr w:type="spellEnd"/>
            <w:r w:rsidRPr="00E4133C">
              <w:rPr>
                <w:rFonts w:asciiTheme="minorHAnsi" w:hAnsiTheme="minorHAnsi" w:cstheme="minorHAnsi"/>
                <w:sz w:val="22"/>
                <w:szCs w:val="22"/>
              </w:rPr>
              <w:t xml:space="preserve"> ČR – </w:t>
            </w:r>
            <w:proofErr w:type="spellStart"/>
            <w:r w:rsidRPr="00E4133C">
              <w:rPr>
                <w:rFonts w:asciiTheme="minorHAnsi" w:hAnsiTheme="minorHAnsi" w:cstheme="minorHAnsi"/>
                <w:sz w:val="22"/>
                <w:szCs w:val="22"/>
              </w:rPr>
              <w:t>podrobnější</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popis</w:t>
            </w:r>
            <w:proofErr w:type="spellEnd"/>
            <w:r w:rsidRPr="00E4133C">
              <w:rPr>
                <w:rFonts w:asciiTheme="minorHAnsi" w:hAnsiTheme="minorHAnsi" w:cstheme="minorHAnsi"/>
                <w:sz w:val="22"/>
                <w:szCs w:val="22"/>
              </w:rPr>
              <w:t xml:space="preserve"> – viz </w:t>
            </w:r>
            <w:proofErr w:type="spellStart"/>
            <w:r w:rsidRPr="00E4133C">
              <w:rPr>
                <w:rFonts w:asciiTheme="minorHAnsi" w:hAnsiTheme="minorHAnsi" w:cstheme="minorHAnsi"/>
                <w:sz w:val="22"/>
                <w:szCs w:val="22"/>
              </w:rPr>
              <w:t>část</w:t>
            </w:r>
            <w:proofErr w:type="spellEnd"/>
            <w:r w:rsidRPr="00E4133C">
              <w:rPr>
                <w:rFonts w:asciiTheme="minorHAnsi" w:hAnsiTheme="minorHAnsi" w:cstheme="minorHAnsi"/>
                <w:sz w:val="22"/>
                <w:szCs w:val="22"/>
              </w:rPr>
              <w:t xml:space="preserve"> 3. </w:t>
            </w:r>
            <w:proofErr w:type="spellStart"/>
            <w:r w:rsidRPr="00E4133C">
              <w:rPr>
                <w:rFonts w:asciiTheme="minorHAnsi" w:hAnsiTheme="minorHAnsi" w:cstheme="minorHAnsi"/>
                <w:sz w:val="22"/>
                <w:szCs w:val="22"/>
              </w:rPr>
              <w:t>tohoto</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formuláře</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b/>
                <w:bCs/>
                <w:sz w:val="22"/>
                <w:szCs w:val="22"/>
              </w:rPr>
              <w:t>výstupy</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tohoto</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prověření</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jsou</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popsány</w:t>
            </w:r>
            <w:proofErr w:type="spellEnd"/>
            <w:r w:rsidRPr="00E4133C">
              <w:rPr>
                <w:rFonts w:asciiTheme="minorHAnsi" w:hAnsiTheme="minorHAnsi" w:cstheme="minorHAnsi"/>
                <w:b/>
                <w:bCs/>
                <w:sz w:val="22"/>
                <w:szCs w:val="22"/>
              </w:rPr>
              <w:t xml:space="preserve"> </w:t>
            </w:r>
            <w:proofErr w:type="spellStart"/>
            <w:r w:rsidR="0070129F" w:rsidRPr="00E4133C">
              <w:rPr>
                <w:rFonts w:asciiTheme="minorHAnsi" w:hAnsiTheme="minorHAnsi" w:cstheme="minorHAnsi"/>
                <w:b/>
                <w:bCs/>
                <w:sz w:val="22"/>
                <w:szCs w:val="22"/>
              </w:rPr>
              <w:t>zde</w:t>
            </w:r>
            <w:proofErr w:type="spellEnd"/>
            <w:r w:rsidR="0070129F" w:rsidRPr="00E4133C">
              <w:rPr>
                <w:rFonts w:asciiTheme="minorHAnsi" w:hAnsiTheme="minorHAnsi" w:cstheme="minorHAnsi"/>
                <w:b/>
                <w:bCs/>
                <w:sz w:val="22"/>
                <w:szCs w:val="22"/>
              </w:rPr>
              <w:t>:</w:t>
            </w:r>
          </w:p>
          <w:p w14:paraId="24CF87E5" w14:textId="489D1A62" w:rsidR="0070129F" w:rsidRPr="00E4133C" w:rsidRDefault="0070129F" w:rsidP="00F41FE5">
            <w:pPr>
              <w:pStyle w:val="Default"/>
              <w:jc w:val="both"/>
              <w:rPr>
                <w:rFonts w:asciiTheme="minorHAnsi" w:hAnsiTheme="minorHAnsi" w:cstheme="minorHAnsi"/>
                <w:b/>
                <w:bCs/>
                <w:sz w:val="22"/>
                <w:szCs w:val="22"/>
              </w:rPr>
            </w:pPr>
          </w:p>
          <w:p w14:paraId="4E09F24C" w14:textId="3DCC3A53" w:rsidR="0070129F" w:rsidRPr="00E4133C" w:rsidRDefault="0070129F" w:rsidP="00F41FE5">
            <w:pPr>
              <w:pStyle w:val="Default"/>
              <w:jc w:val="both"/>
              <w:rPr>
                <w:rFonts w:asciiTheme="minorHAnsi" w:hAnsiTheme="minorHAnsi" w:cstheme="minorHAnsi"/>
                <w:sz w:val="22"/>
                <w:szCs w:val="22"/>
              </w:rPr>
            </w:pPr>
            <w:proofErr w:type="spellStart"/>
            <w:r w:rsidRPr="00E4133C">
              <w:rPr>
                <w:rFonts w:asciiTheme="minorHAnsi" w:hAnsiTheme="minorHAnsi" w:cstheme="minorHAnsi"/>
                <w:b/>
                <w:bCs/>
                <w:sz w:val="22"/>
                <w:szCs w:val="22"/>
              </w:rPr>
              <w:t>Posuzujte</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tato</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klimatická</w:t>
            </w:r>
            <w:proofErr w:type="spellEnd"/>
            <w:r w:rsidRPr="00E4133C">
              <w:rPr>
                <w:rFonts w:asciiTheme="minorHAnsi" w:hAnsiTheme="minorHAnsi" w:cstheme="minorHAnsi"/>
                <w:b/>
                <w:bCs/>
                <w:sz w:val="22"/>
                <w:szCs w:val="22"/>
              </w:rPr>
              <w:t xml:space="preserve"> </w:t>
            </w:r>
            <w:proofErr w:type="spellStart"/>
            <w:r w:rsidRPr="00E4133C">
              <w:rPr>
                <w:rFonts w:asciiTheme="minorHAnsi" w:hAnsiTheme="minorHAnsi" w:cstheme="minorHAnsi"/>
                <w:b/>
                <w:bCs/>
                <w:sz w:val="22"/>
                <w:szCs w:val="22"/>
              </w:rPr>
              <w:t>rizika</w:t>
            </w:r>
            <w:proofErr w:type="spellEnd"/>
            <w:r w:rsidRPr="00E4133C">
              <w:rPr>
                <w:rFonts w:asciiTheme="minorHAnsi" w:hAnsiTheme="minorHAnsi" w:cstheme="minorHAnsi"/>
                <w:b/>
                <w:bCs/>
                <w:sz w:val="22"/>
                <w:szCs w:val="22"/>
              </w:rPr>
              <w:t>:</w:t>
            </w:r>
          </w:p>
          <w:p w14:paraId="2397675F"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Dlouhodobé</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sucho</w:t>
            </w:r>
            <w:proofErr w:type="spellEnd"/>
            <w:r w:rsidRPr="00E4133C">
              <w:rPr>
                <w:rFonts w:asciiTheme="minorHAnsi" w:hAnsiTheme="minorHAnsi" w:cstheme="minorHAnsi"/>
                <w:sz w:val="22"/>
                <w:szCs w:val="22"/>
              </w:rPr>
              <w:t xml:space="preserve"> </w:t>
            </w:r>
          </w:p>
          <w:p w14:paraId="02657032"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Povodně</w:t>
            </w:r>
            <w:proofErr w:type="spellEnd"/>
            <w:r w:rsidRPr="00E4133C">
              <w:rPr>
                <w:rFonts w:asciiTheme="minorHAnsi" w:hAnsiTheme="minorHAnsi" w:cstheme="minorHAnsi"/>
                <w:sz w:val="22"/>
                <w:szCs w:val="22"/>
              </w:rPr>
              <w:t xml:space="preserve"> a </w:t>
            </w:r>
            <w:proofErr w:type="spellStart"/>
            <w:r w:rsidRPr="00E4133C">
              <w:rPr>
                <w:rFonts w:asciiTheme="minorHAnsi" w:hAnsiTheme="minorHAnsi" w:cstheme="minorHAnsi"/>
                <w:sz w:val="22"/>
                <w:szCs w:val="22"/>
              </w:rPr>
              <w:t>přívalové</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povodně</w:t>
            </w:r>
            <w:proofErr w:type="spellEnd"/>
            <w:r w:rsidRPr="00E4133C">
              <w:rPr>
                <w:rFonts w:asciiTheme="minorHAnsi" w:hAnsiTheme="minorHAnsi" w:cstheme="minorHAnsi"/>
                <w:sz w:val="22"/>
                <w:szCs w:val="22"/>
              </w:rPr>
              <w:t xml:space="preserve"> </w:t>
            </w:r>
          </w:p>
          <w:p w14:paraId="088DE8FD"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Vydatné</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srážky</w:t>
            </w:r>
            <w:proofErr w:type="spellEnd"/>
            <w:r w:rsidRPr="00E4133C">
              <w:rPr>
                <w:rFonts w:asciiTheme="minorHAnsi" w:hAnsiTheme="minorHAnsi" w:cstheme="minorHAnsi"/>
                <w:sz w:val="22"/>
                <w:szCs w:val="22"/>
              </w:rPr>
              <w:t xml:space="preserve"> </w:t>
            </w:r>
          </w:p>
          <w:p w14:paraId="472FD594"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Zvyšování</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teplot</w:t>
            </w:r>
            <w:proofErr w:type="spellEnd"/>
            <w:r w:rsidRPr="00E4133C">
              <w:rPr>
                <w:rFonts w:asciiTheme="minorHAnsi" w:hAnsiTheme="minorHAnsi" w:cstheme="minorHAnsi"/>
                <w:sz w:val="22"/>
                <w:szCs w:val="22"/>
              </w:rPr>
              <w:t xml:space="preserve"> </w:t>
            </w:r>
          </w:p>
          <w:p w14:paraId="11216AEC"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Extrémně</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vysoké</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teploty</w:t>
            </w:r>
            <w:proofErr w:type="spellEnd"/>
            <w:r w:rsidRPr="00E4133C">
              <w:rPr>
                <w:rFonts w:asciiTheme="minorHAnsi" w:hAnsiTheme="minorHAnsi" w:cstheme="minorHAnsi"/>
                <w:sz w:val="22"/>
                <w:szCs w:val="22"/>
              </w:rPr>
              <w:t xml:space="preserve"> </w:t>
            </w:r>
          </w:p>
          <w:p w14:paraId="4A0F93F6" w14:textId="77777777" w:rsidR="00F41FE5" w:rsidRPr="00E4133C" w:rsidRDefault="00F41FE5" w:rsidP="00F41FE5">
            <w:pPr>
              <w:pStyle w:val="Default"/>
              <w:jc w:val="both"/>
              <w:rPr>
                <w:rFonts w:asciiTheme="minorHAnsi" w:hAnsiTheme="minorHAnsi" w:cstheme="minorHAnsi"/>
                <w:sz w:val="22"/>
                <w:szCs w:val="22"/>
              </w:rPr>
            </w:pPr>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Extrémní</w:t>
            </w:r>
            <w:proofErr w:type="spellEnd"/>
            <w:r w:rsidRPr="00E4133C">
              <w:rPr>
                <w:rFonts w:asciiTheme="minorHAnsi" w:hAnsiTheme="minorHAnsi" w:cstheme="minorHAnsi"/>
                <w:sz w:val="22"/>
                <w:szCs w:val="22"/>
              </w:rPr>
              <w:t xml:space="preserve"> </w:t>
            </w:r>
            <w:proofErr w:type="spellStart"/>
            <w:r w:rsidRPr="00E4133C">
              <w:rPr>
                <w:rFonts w:asciiTheme="minorHAnsi" w:hAnsiTheme="minorHAnsi" w:cstheme="minorHAnsi"/>
                <w:sz w:val="22"/>
                <w:szCs w:val="22"/>
              </w:rPr>
              <w:t>vítr</w:t>
            </w:r>
            <w:proofErr w:type="spellEnd"/>
            <w:r w:rsidRPr="00E4133C">
              <w:rPr>
                <w:rFonts w:asciiTheme="minorHAnsi" w:hAnsiTheme="minorHAnsi" w:cstheme="minorHAnsi"/>
                <w:sz w:val="22"/>
                <w:szCs w:val="22"/>
              </w:rPr>
              <w:t xml:space="preserve"> </w:t>
            </w:r>
          </w:p>
          <w:p w14:paraId="6723D186" w14:textId="2DC8232E" w:rsidR="00F41FE5" w:rsidRPr="00D84319" w:rsidRDefault="00F41FE5" w:rsidP="00F41FE5">
            <w:pPr>
              <w:spacing w:line="276" w:lineRule="auto"/>
              <w:jc w:val="both"/>
              <w:rPr>
                <w:rFonts w:cstheme="minorHAnsi"/>
                <w:bCs/>
                <w:sz w:val="22"/>
                <w:szCs w:val="22"/>
              </w:rPr>
            </w:pPr>
            <w:r w:rsidRPr="00E4133C">
              <w:rPr>
                <w:rFonts w:asciiTheme="minorHAnsi" w:hAnsiTheme="minorHAnsi" w:cstheme="minorHAnsi"/>
                <w:color w:val="000000"/>
                <w:sz w:val="22"/>
                <w:szCs w:val="22"/>
              </w:rPr>
              <w:t xml:space="preserve">- </w:t>
            </w:r>
            <w:proofErr w:type="spellStart"/>
            <w:r w:rsidRPr="00E4133C">
              <w:rPr>
                <w:rFonts w:asciiTheme="minorHAnsi" w:hAnsiTheme="minorHAnsi" w:cstheme="minorHAnsi"/>
                <w:color w:val="000000"/>
                <w:sz w:val="22"/>
                <w:szCs w:val="22"/>
              </w:rPr>
              <w:t>Požáry</w:t>
            </w:r>
            <w:proofErr w:type="spellEnd"/>
            <w:r w:rsidRPr="00E4133C">
              <w:rPr>
                <w:rFonts w:asciiTheme="minorHAnsi" w:hAnsiTheme="minorHAnsi" w:cstheme="minorHAnsi"/>
                <w:color w:val="000000"/>
                <w:sz w:val="22"/>
                <w:szCs w:val="22"/>
              </w:rPr>
              <w:t xml:space="preserve"> </w:t>
            </w:r>
            <w:proofErr w:type="spellStart"/>
            <w:r w:rsidRPr="00E4133C">
              <w:rPr>
                <w:rFonts w:asciiTheme="minorHAnsi" w:hAnsiTheme="minorHAnsi" w:cstheme="minorHAnsi"/>
                <w:color w:val="000000"/>
                <w:sz w:val="22"/>
                <w:szCs w:val="22"/>
              </w:rPr>
              <w:t>vegetace</w:t>
            </w:r>
            <w:proofErr w:type="spellEnd"/>
            <w:r w:rsidRPr="00E4133C">
              <w:rPr>
                <w:rFonts w:ascii="Segoe UI" w:hAnsi="Segoe UI" w:cs="Segoe UI"/>
                <w:color w:val="000000"/>
                <w:sz w:val="22"/>
                <w:szCs w:val="22"/>
              </w:rPr>
              <w:t xml:space="preserve"> </w:t>
            </w:r>
          </w:p>
        </w:tc>
      </w:tr>
    </w:tbl>
    <w:p w14:paraId="000C3552" w14:textId="77777777" w:rsidR="007C0394" w:rsidRPr="00711EF9" w:rsidRDefault="007C0394" w:rsidP="00C354C7">
      <w:pPr>
        <w:jc w:val="both"/>
        <w:rPr>
          <w:rFonts w:asciiTheme="minorHAnsi" w:hAnsiTheme="minorHAnsi" w:cstheme="minorHAnsi"/>
          <w:sz w:val="22"/>
          <w:szCs w:val="22"/>
        </w:rPr>
      </w:pPr>
    </w:p>
    <w:p w14:paraId="1D3AC044" w14:textId="71EEBD94" w:rsidR="00CF1987" w:rsidRPr="00711EF9" w:rsidRDefault="00CF1987" w:rsidP="00C354C7">
      <w:pPr>
        <w:jc w:val="both"/>
        <w:rPr>
          <w:rFonts w:asciiTheme="minorHAnsi" w:hAnsiTheme="minorHAnsi" w:cstheme="minorHAnsi"/>
          <w:sz w:val="22"/>
          <w:szCs w:val="22"/>
        </w:rPr>
      </w:pPr>
    </w:p>
    <w:p w14:paraId="67E80154" w14:textId="4740EBF8"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Udržitelné využívání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ochrana vodních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mořských zdrojů</w:t>
      </w:r>
    </w:p>
    <w:p w14:paraId="3B8B119C" w14:textId="77777777" w:rsidR="00E918C9" w:rsidRPr="00711EF9" w:rsidRDefault="00E918C9" w:rsidP="00E918C9">
      <w:pPr>
        <w:autoSpaceDE w:val="0"/>
        <w:autoSpaceDN w:val="0"/>
        <w:adjustRightInd w:val="0"/>
        <w:jc w:val="both"/>
        <w:rPr>
          <w:rFonts w:asciiTheme="minorHAnsi" w:hAnsiTheme="minorHAnsi" w:cstheme="minorHAnsi"/>
          <w:b/>
          <w:strike/>
          <w:color w:val="000000"/>
          <w:sz w:val="22"/>
          <w:szCs w:val="22"/>
        </w:rPr>
      </w:pPr>
      <w:r w:rsidRPr="00711EF9">
        <w:rPr>
          <w:rFonts w:asciiTheme="minorHAnsi" w:hAnsiTheme="minorHAnsi" w:cstheme="minorHAnsi"/>
          <w:b/>
          <w:color w:val="000000"/>
          <w:sz w:val="22"/>
          <w:szCs w:val="22"/>
        </w:rPr>
        <w:t>Aktivita významně nepoškozuje udržitelné využívání a ochranu vodních zdrojů, pokud nepoškozuje dobrý stav nebo dobrý ekolo</w:t>
      </w:r>
      <w:bookmarkStart w:id="7" w:name="_GoBack"/>
      <w:bookmarkEnd w:id="7"/>
      <w:r w:rsidRPr="00711EF9">
        <w:rPr>
          <w:rFonts w:asciiTheme="minorHAnsi" w:hAnsiTheme="minorHAnsi" w:cstheme="minorHAnsi"/>
          <w:b/>
          <w:color w:val="000000"/>
          <w:sz w:val="22"/>
          <w:szCs w:val="22"/>
        </w:rPr>
        <w:t>gický potenciál vodních útvarů, včetně povrchových a podzemních vod.</w:t>
      </w:r>
    </w:p>
    <w:p w14:paraId="0FA4ACEF" w14:textId="612F5DC5" w:rsidR="00E918C9" w:rsidRPr="00711EF9" w:rsidRDefault="00E918C9" w:rsidP="00E90FD2">
      <w:pPr>
        <w:jc w:val="both"/>
        <w:rPr>
          <w:rFonts w:asciiTheme="minorHAnsi" w:hAnsiTheme="minorHAnsi" w:cstheme="minorHAnsi"/>
          <w:i/>
          <w:sz w:val="22"/>
          <w:szCs w:val="22"/>
        </w:rPr>
      </w:pPr>
    </w:p>
    <w:tbl>
      <w:tblPr>
        <w:tblStyle w:val="Mkatabulky4"/>
        <w:tblW w:w="0" w:type="auto"/>
        <w:tblLook w:val="04A0" w:firstRow="1" w:lastRow="0" w:firstColumn="1" w:lastColumn="0" w:noHBand="0" w:noVBand="1"/>
      </w:tblPr>
      <w:tblGrid>
        <w:gridCol w:w="9628"/>
      </w:tblGrid>
      <w:tr w:rsidR="00385DDE" w:rsidRPr="00711EF9" w14:paraId="5C0646BD" w14:textId="77777777" w:rsidTr="00FB4A4E">
        <w:tc>
          <w:tcPr>
            <w:tcW w:w="9628" w:type="dxa"/>
          </w:tcPr>
          <w:p w14:paraId="2D7AD33B" w14:textId="09A4248B" w:rsidR="00385DDE" w:rsidRPr="00711EF9" w:rsidRDefault="00BC4F59" w:rsidP="00385DDE">
            <w:pPr>
              <w:jc w:val="both"/>
              <w:rPr>
                <w:rFonts w:asciiTheme="minorHAnsi" w:eastAsiaTheme="minorHAnsi" w:hAnsiTheme="minorHAnsi" w:cstheme="minorHAnsi"/>
                <w:b/>
                <w:color w:val="000000"/>
                <w:sz w:val="22"/>
                <w:szCs w:val="22"/>
              </w:rPr>
            </w:pPr>
            <w:r>
              <w:rPr>
                <w:rFonts w:asciiTheme="minorHAnsi" w:eastAsiaTheme="minorHAnsi" w:hAnsiTheme="minorHAnsi" w:cstheme="minorHAnsi"/>
                <w:bCs/>
                <w:color w:val="000000" w:themeColor="text1"/>
                <w:sz w:val="22"/>
                <w:szCs w:val="22"/>
              </w:rPr>
              <w:t>Pro daný typ projektů nerelevantní</w:t>
            </w:r>
          </w:p>
        </w:tc>
      </w:tr>
    </w:tbl>
    <w:p w14:paraId="0D30DEE1" w14:textId="3B91EC92" w:rsidR="00E918C9" w:rsidRDefault="00E918C9" w:rsidP="00E90FD2">
      <w:pPr>
        <w:jc w:val="both"/>
        <w:rPr>
          <w:rFonts w:asciiTheme="minorHAnsi" w:hAnsiTheme="minorHAnsi" w:cstheme="minorHAnsi"/>
          <w:i/>
          <w:sz w:val="22"/>
          <w:szCs w:val="22"/>
        </w:rPr>
      </w:pPr>
    </w:p>
    <w:p w14:paraId="6EA84D34" w14:textId="49A6BA0D" w:rsidR="00E918C9" w:rsidRPr="00711EF9" w:rsidRDefault="00E918C9" w:rsidP="00E90FD2">
      <w:pPr>
        <w:jc w:val="both"/>
        <w:rPr>
          <w:rFonts w:asciiTheme="minorHAnsi" w:hAnsiTheme="minorHAnsi" w:cstheme="minorHAnsi"/>
          <w:i/>
          <w:sz w:val="22"/>
          <w:szCs w:val="22"/>
        </w:rPr>
      </w:pPr>
    </w:p>
    <w:p w14:paraId="75AD9680" w14:textId="063BF5ED"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bookmarkStart w:id="8" w:name="_Hlk100149422"/>
      <w:r w:rsidRPr="00711EF9">
        <w:rPr>
          <w:rFonts w:asciiTheme="minorHAnsi" w:hAnsiTheme="minorHAnsi" w:cstheme="minorHAnsi"/>
          <w:b/>
          <w:sz w:val="22"/>
          <w:szCs w:val="22"/>
          <w:u w:val="single"/>
        </w:rPr>
        <w:t>Oběhové hospodářství včetně předcházení vzniku odpadů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recyklace</w:t>
      </w:r>
    </w:p>
    <w:bookmarkEnd w:id="8"/>
    <w:p w14:paraId="1F739E9E" w14:textId="6331721E" w:rsidR="00E90FD2" w:rsidRPr="00F41FE5" w:rsidRDefault="00F41FE5" w:rsidP="00E90FD2">
      <w:pPr>
        <w:jc w:val="both"/>
        <w:rPr>
          <w:rFonts w:asciiTheme="minorHAnsi" w:hAnsiTheme="minorHAnsi" w:cstheme="minorHAnsi"/>
          <w:b/>
          <w:sz w:val="22"/>
          <w:szCs w:val="22"/>
        </w:rPr>
      </w:pPr>
      <w:r>
        <w:rPr>
          <w:rFonts w:asciiTheme="minorHAnsi" w:hAnsiTheme="minorHAnsi" w:cstheme="minorHAnsi"/>
          <w:b/>
          <w:sz w:val="22"/>
          <w:szCs w:val="22"/>
        </w:rPr>
        <w:t>Aktivita</w:t>
      </w:r>
      <w:r w:rsidR="00E90FD2" w:rsidRPr="00F41FE5">
        <w:rPr>
          <w:rFonts w:asciiTheme="minorHAnsi" w:hAnsiTheme="minorHAnsi" w:cstheme="minorHAnsi"/>
          <w:b/>
          <w:sz w:val="22"/>
          <w:szCs w:val="22"/>
        </w:rPr>
        <w:t xml:space="preserve"> významně </w:t>
      </w:r>
      <w:r w:rsidR="00CD1FC0"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 xml:space="preserve">poškozuje tento environmentální cíl, pokud </w:t>
      </w:r>
      <w:r w:rsidR="00CD1FC0"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vede k</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významné nehospodárnosti v</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používání materiálů nebo v</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 xml:space="preserve">přímém nebo nepřímém využívání přírodních zdrojů nebo pokud významně </w:t>
      </w:r>
      <w:r w:rsidR="00CD1FC0"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 xml:space="preserve">přispívá ke vzniku, spalování nebo odstraňování odpadu nebo pokud dlouhodobé odstraňování odpadu </w:t>
      </w:r>
      <w:r w:rsidR="00104AF5" w:rsidRPr="00F41FE5">
        <w:rPr>
          <w:rFonts w:asciiTheme="minorHAnsi" w:hAnsiTheme="minorHAnsi" w:cstheme="minorHAnsi"/>
          <w:b/>
          <w:sz w:val="22"/>
          <w:szCs w:val="22"/>
        </w:rPr>
        <w:t>ne</w:t>
      </w:r>
      <w:r w:rsidR="00E90FD2" w:rsidRPr="00F41FE5">
        <w:rPr>
          <w:rFonts w:asciiTheme="minorHAnsi" w:hAnsiTheme="minorHAnsi" w:cstheme="minorHAnsi"/>
          <w:b/>
          <w:sz w:val="22"/>
          <w:szCs w:val="22"/>
        </w:rPr>
        <w:t>může způsobit významné a</w:t>
      </w:r>
      <w:r w:rsidR="00F13060" w:rsidRPr="00F41FE5">
        <w:rPr>
          <w:rFonts w:asciiTheme="minorHAnsi" w:hAnsiTheme="minorHAnsi" w:cstheme="minorHAnsi"/>
          <w:b/>
          <w:sz w:val="22"/>
          <w:szCs w:val="22"/>
        </w:rPr>
        <w:t> </w:t>
      </w:r>
      <w:r w:rsidR="00E90FD2" w:rsidRPr="00F41FE5">
        <w:rPr>
          <w:rFonts w:asciiTheme="minorHAnsi" w:hAnsiTheme="minorHAnsi" w:cstheme="minorHAnsi"/>
          <w:b/>
          <w:sz w:val="22"/>
          <w:szCs w:val="22"/>
        </w:rPr>
        <w:t>dlouhodobé škody na životním prostředí.</w:t>
      </w:r>
    </w:p>
    <w:p w14:paraId="5E79818C" w14:textId="766BC63A" w:rsidR="00884910" w:rsidRPr="00711EF9" w:rsidRDefault="00884910" w:rsidP="00E90FD2">
      <w:pPr>
        <w:jc w:val="both"/>
        <w:rPr>
          <w:rFonts w:asciiTheme="minorHAnsi" w:hAnsiTheme="minorHAnsi" w:cstheme="minorHAnsi"/>
          <w:i/>
          <w:iCs/>
          <w:sz w:val="22"/>
          <w:szCs w:val="22"/>
          <w:lang w:eastAsia="cs-CZ"/>
        </w:rPr>
      </w:pPr>
    </w:p>
    <w:tbl>
      <w:tblPr>
        <w:tblStyle w:val="Mkatabulky5"/>
        <w:tblW w:w="0" w:type="auto"/>
        <w:tblLook w:val="04A0" w:firstRow="1" w:lastRow="0" w:firstColumn="1" w:lastColumn="0" w:noHBand="0" w:noVBand="1"/>
      </w:tblPr>
      <w:tblGrid>
        <w:gridCol w:w="9628"/>
      </w:tblGrid>
      <w:tr w:rsidR="003A7860" w:rsidRPr="00711EF9" w14:paraId="1F2C651B" w14:textId="77777777" w:rsidTr="00CD6A69">
        <w:tc>
          <w:tcPr>
            <w:tcW w:w="9628" w:type="dxa"/>
            <w:vAlign w:val="center"/>
          </w:tcPr>
          <w:p w14:paraId="6C4B4895" w14:textId="57CC834A" w:rsidR="003A7860" w:rsidRPr="00104AF5" w:rsidRDefault="00104AF5" w:rsidP="00104AF5">
            <w:pPr>
              <w:jc w:val="both"/>
              <w:rPr>
                <w:rFonts w:asciiTheme="minorHAnsi" w:eastAsiaTheme="minorHAnsi" w:hAnsiTheme="minorHAnsi" w:cstheme="minorHAnsi"/>
                <w:color w:val="000000"/>
                <w:sz w:val="22"/>
                <w:szCs w:val="22"/>
              </w:rPr>
            </w:pPr>
            <w:r w:rsidRPr="00104AF5">
              <w:t xml:space="preserve"> </w:t>
            </w:r>
            <w:r w:rsidRPr="00104AF5">
              <w:rPr>
                <w:rFonts w:asciiTheme="minorHAnsi" w:eastAsiaTheme="minorHAnsi" w:hAnsiTheme="minorHAnsi" w:cstheme="minorHAnsi"/>
                <w:color w:val="000000"/>
                <w:sz w:val="22"/>
                <w:szCs w:val="22"/>
              </w:rPr>
              <w:t xml:space="preserve">Investice budou plně respektovat cíle a opatření Plánu odpadového hospodářství České republiky na období </w:t>
            </w:r>
            <w:proofErr w:type="gramStart"/>
            <w:r w:rsidRPr="00104AF5">
              <w:rPr>
                <w:rFonts w:asciiTheme="minorHAnsi" w:eastAsiaTheme="minorHAnsi" w:hAnsiTheme="minorHAnsi" w:cstheme="minorHAnsi"/>
                <w:color w:val="000000"/>
                <w:sz w:val="22"/>
                <w:szCs w:val="22"/>
              </w:rPr>
              <w:t xml:space="preserve">2015 </w:t>
            </w:r>
            <w:r w:rsidR="00147568">
              <w:rPr>
                <w:rFonts w:asciiTheme="minorHAnsi" w:eastAsiaTheme="minorHAnsi" w:hAnsiTheme="minorHAnsi" w:cstheme="minorHAnsi"/>
                <w:color w:val="000000"/>
                <w:sz w:val="22"/>
                <w:szCs w:val="22"/>
              </w:rPr>
              <w:t>–</w:t>
            </w:r>
            <w:r w:rsidRPr="00104AF5">
              <w:rPr>
                <w:rFonts w:asciiTheme="minorHAnsi" w:eastAsiaTheme="minorHAnsi" w:hAnsiTheme="minorHAnsi" w:cstheme="minorHAnsi"/>
                <w:color w:val="000000"/>
                <w:sz w:val="22"/>
                <w:szCs w:val="22"/>
              </w:rPr>
              <w:t xml:space="preserve"> 2024</w:t>
            </w:r>
            <w:proofErr w:type="gramEnd"/>
            <w:r w:rsidRPr="00104AF5">
              <w:rPr>
                <w:rFonts w:asciiTheme="minorHAnsi" w:eastAsiaTheme="minorHAnsi" w:hAnsiTheme="minorHAnsi" w:cstheme="minorHAnsi"/>
                <w:color w:val="000000"/>
                <w:sz w:val="22"/>
                <w:szCs w:val="22"/>
              </w:rPr>
              <w:t>. Zákony v oblasti nakládání s odpady, jak zákon č. 541/2020 Sb., O odpadech, tak zákon č. 542/2020 Sb., O výrobcích s ukončenou životností, a zákon č. 477/2001 Sb., O obalech</w:t>
            </w:r>
            <w:r w:rsidR="00676E30">
              <w:rPr>
                <w:rFonts w:asciiTheme="minorHAnsi" w:eastAsiaTheme="minorHAnsi" w:hAnsiTheme="minorHAnsi" w:cstheme="minorHAnsi"/>
                <w:color w:val="000000"/>
                <w:sz w:val="22"/>
                <w:szCs w:val="22"/>
              </w:rPr>
              <w:t>.</w:t>
            </w:r>
          </w:p>
        </w:tc>
      </w:tr>
      <w:tr w:rsidR="00F41FE5" w:rsidRPr="00711EF9" w14:paraId="4B0B8CE1" w14:textId="77777777" w:rsidTr="00CD6A69">
        <w:tc>
          <w:tcPr>
            <w:tcW w:w="9628" w:type="dxa"/>
            <w:vAlign w:val="center"/>
          </w:tcPr>
          <w:p w14:paraId="5C7336D6" w14:textId="297A8632" w:rsidR="00F41FE5" w:rsidRPr="00B54110" w:rsidRDefault="00F41FE5" w:rsidP="00F41FE5">
            <w:pPr>
              <w:pStyle w:val="Default"/>
              <w:jc w:val="both"/>
              <w:rPr>
                <w:rFonts w:asciiTheme="minorHAnsi" w:hAnsiTheme="minorHAnsi" w:cstheme="minorHAnsi"/>
                <w:sz w:val="22"/>
                <w:szCs w:val="22"/>
              </w:rPr>
            </w:pPr>
            <w:r w:rsidRPr="00B54110">
              <w:rPr>
                <w:rFonts w:asciiTheme="minorHAnsi" w:hAnsiTheme="minorHAnsi" w:cstheme="minorHAnsi"/>
                <w:sz w:val="22"/>
                <w:szCs w:val="22"/>
              </w:rPr>
              <w:t xml:space="preserve">U zařízení ICT bude při zadávání zakázek zajištěn soulad s kritérii EU pro zelené veřejné zakázky a/nebo budou zajištěny požadavky na energetickou a materiálovou účinnost a požadavky na recyklaci stanovené v souladu se směrnicí 2009/125/ES o </w:t>
            </w:r>
            <w:proofErr w:type="spellStart"/>
            <w:r w:rsidRPr="00B54110">
              <w:rPr>
                <w:rFonts w:asciiTheme="minorHAnsi" w:hAnsiTheme="minorHAnsi" w:cstheme="minorHAnsi"/>
                <w:sz w:val="22"/>
                <w:szCs w:val="22"/>
              </w:rPr>
              <w:t>ekodesignu</w:t>
            </w:r>
            <w:proofErr w:type="spellEnd"/>
            <w:r w:rsidRPr="00B54110">
              <w:rPr>
                <w:rFonts w:asciiTheme="minorHAnsi" w:hAnsiTheme="minorHAnsi" w:cstheme="minorHAnsi"/>
                <w:sz w:val="22"/>
                <w:szCs w:val="22"/>
              </w:rPr>
              <w:t xml:space="preserve"> výrobků a prováděcím rozhodnutím (EU) 2021/19 pro podávání zpráv o opětovném použití v souladu se směrnicí Evropského parlamentu a Rady 2008/98/ES o odpadech </w:t>
            </w:r>
          </w:p>
        </w:tc>
      </w:tr>
      <w:tr w:rsidR="00B54110" w:rsidRPr="00711EF9" w14:paraId="66830F69" w14:textId="1EAA9807" w:rsidTr="00CD6A69">
        <w:tc>
          <w:tcPr>
            <w:tcW w:w="9628" w:type="dxa"/>
            <w:vAlign w:val="center"/>
          </w:tcPr>
          <w:p w14:paraId="59A33DB4" w14:textId="18558CC9" w:rsidR="00B54110" w:rsidRPr="00B54110" w:rsidRDefault="00B54110" w:rsidP="00F41FE5">
            <w:pPr>
              <w:pStyle w:val="Default"/>
              <w:jc w:val="both"/>
              <w:rPr>
                <w:rFonts w:asciiTheme="minorHAnsi" w:hAnsiTheme="minorHAnsi" w:cstheme="minorHAnsi"/>
                <w:sz w:val="22"/>
                <w:szCs w:val="22"/>
              </w:rPr>
            </w:pPr>
            <w:r w:rsidRPr="00B54110">
              <w:rPr>
                <w:rFonts w:asciiTheme="minorHAnsi" w:hAnsiTheme="minorHAnsi" w:cstheme="minorHAnsi"/>
                <w:sz w:val="22"/>
                <w:szCs w:val="22"/>
              </w:rPr>
              <w:t>Pořízené</w:t>
            </w:r>
            <w:r w:rsidR="0004542F">
              <w:rPr>
                <w:rFonts w:asciiTheme="minorHAnsi" w:hAnsiTheme="minorHAnsi" w:cstheme="minorHAnsi"/>
                <w:sz w:val="22"/>
                <w:szCs w:val="22"/>
              </w:rPr>
              <w:t xml:space="preserve"> </w:t>
            </w:r>
            <w:r w:rsidRPr="00B54110">
              <w:rPr>
                <w:rFonts w:asciiTheme="minorHAnsi" w:hAnsiTheme="minorHAnsi" w:cstheme="minorHAnsi"/>
                <w:sz w:val="22"/>
                <w:szCs w:val="22"/>
              </w:rPr>
              <w:t xml:space="preserve">vybavení bude po skončení životnosti zlikvidováno v souladu s požadavky legislativy, tj. bude předáno oprávněným subjektům k likvidaci. </w:t>
            </w:r>
          </w:p>
        </w:tc>
      </w:tr>
    </w:tbl>
    <w:p w14:paraId="1FA08E44" w14:textId="4C8053BD" w:rsidR="00884910" w:rsidRDefault="00884910" w:rsidP="00E90FD2">
      <w:pPr>
        <w:jc w:val="both"/>
        <w:rPr>
          <w:rFonts w:asciiTheme="minorHAnsi" w:hAnsiTheme="minorHAnsi" w:cstheme="minorHAnsi"/>
          <w:i/>
          <w:iCs/>
          <w:sz w:val="22"/>
          <w:szCs w:val="22"/>
          <w:lang w:eastAsia="cs-CZ"/>
        </w:rPr>
      </w:pPr>
    </w:p>
    <w:p w14:paraId="1473B14B" w14:textId="77777777" w:rsidR="00933696" w:rsidRPr="00711EF9" w:rsidRDefault="00933696" w:rsidP="00E90FD2">
      <w:pPr>
        <w:jc w:val="both"/>
        <w:rPr>
          <w:rFonts w:asciiTheme="minorHAnsi" w:hAnsiTheme="minorHAnsi" w:cstheme="minorHAnsi"/>
          <w:i/>
          <w:iCs/>
          <w:sz w:val="22"/>
          <w:szCs w:val="22"/>
          <w:lang w:eastAsia="cs-CZ"/>
        </w:rPr>
      </w:pPr>
    </w:p>
    <w:p w14:paraId="210A6BFD" w14:textId="1E19F2EE"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Prevence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omezování znečištění ovzduší, vody nebo půdy</w:t>
      </w:r>
    </w:p>
    <w:p w14:paraId="788678CA" w14:textId="77777777" w:rsidR="00A14FEA" w:rsidRPr="00F41FE5" w:rsidRDefault="00A14FEA" w:rsidP="00B97FE8">
      <w:pPr>
        <w:jc w:val="both"/>
        <w:rPr>
          <w:rFonts w:asciiTheme="minorHAnsi" w:hAnsiTheme="minorHAnsi" w:cstheme="minorHAnsi"/>
          <w:b/>
          <w:iCs/>
          <w:sz w:val="22"/>
          <w:szCs w:val="22"/>
          <w:lang w:eastAsia="cs-CZ"/>
        </w:rPr>
      </w:pPr>
    </w:p>
    <w:p w14:paraId="6FB5EBAD"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Aktivity významně nepoškozují tento environmentální cíl, pokud nevedou k významnému zvýšení emisí</w:t>
      </w:r>
    </w:p>
    <w:p w14:paraId="311F3366"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znečišťujících látek do ovzduší, vody nebo půdy.</w:t>
      </w:r>
    </w:p>
    <w:p w14:paraId="1503AB18"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p>
    <w:tbl>
      <w:tblPr>
        <w:tblStyle w:val="Mkatabulky6"/>
        <w:tblW w:w="0" w:type="auto"/>
        <w:tblLook w:val="04A0" w:firstRow="1" w:lastRow="0" w:firstColumn="1" w:lastColumn="0" w:noHBand="0" w:noVBand="1"/>
      </w:tblPr>
      <w:tblGrid>
        <w:gridCol w:w="9628"/>
      </w:tblGrid>
      <w:tr w:rsidR="00CB4B95" w:rsidRPr="00711EF9" w14:paraId="147E7852" w14:textId="77777777" w:rsidTr="00FB4A4E">
        <w:tc>
          <w:tcPr>
            <w:tcW w:w="9628" w:type="dxa"/>
          </w:tcPr>
          <w:p w14:paraId="2964A0ED" w14:textId="440B9CE7" w:rsidR="00CB4B95" w:rsidRPr="00711EF9" w:rsidRDefault="00CB4B95" w:rsidP="009F4A6F">
            <w:pPr>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Cs/>
                <w:color w:val="000000" w:themeColor="text1"/>
                <w:sz w:val="22"/>
                <w:szCs w:val="22"/>
              </w:rPr>
              <w:t>Pořizovaná technologie plní požadavky platné vnitrostátní legislativy pro oblast ochrany ovzduší, vody a přírody.</w:t>
            </w:r>
          </w:p>
        </w:tc>
      </w:tr>
      <w:tr w:rsidR="00531D65" w:rsidRPr="00711EF9" w14:paraId="275733D3" w14:textId="77777777" w:rsidTr="00FB4A4E">
        <w:tc>
          <w:tcPr>
            <w:tcW w:w="9628" w:type="dxa"/>
          </w:tcPr>
          <w:p w14:paraId="3D98BB53" w14:textId="2B11FE49" w:rsidR="00531D65" w:rsidRPr="00711EF9" w:rsidRDefault="00FB4A4E" w:rsidP="009F4A6F">
            <w:pPr>
              <w:rPr>
                <w:rFonts w:asciiTheme="minorHAnsi" w:eastAsiaTheme="minorHAnsi" w:hAnsiTheme="minorHAnsi" w:cstheme="minorHAnsi"/>
                <w:bCs/>
                <w:color w:val="000000" w:themeColor="text1"/>
                <w:sz w:val="22"/>
                <w:szCs w:val="22"/>
              </w:rPr>
            </w:pPr>
            <w:r>
              <w:rPr>
                <w:rFonts w:asciiTheme="minorHAnsi" w:eastAsiaTheme="minorHAnsi" w:hAnsiTheme="minorHAnsi" w:cstheme="minorHAnsi"/>
                <w:bCs/>
                <w:color w:val="000000" w:themeColor="text1"/>
                <w:sz w:val="22"/>
                <w:szCs w:val="22"/>
              </w:rPr>
              <w:lastRenderedPageBreak/>
              <w:t>Investice není realizována na kontaminovaném území, v rámci přípravy projektu bylo provedeno prověření,</w:t>
            </w:r>
            <w:r w:rsidRPr="00933696">
              <w:rPr>
                <w:rFonts w:asciiTheme="minorHAnsi" w:eastAsiaTheme="minorHAnsi" w:hAnsiTheme="minorHAnsi" w:cstheme="minorHAnsi"/>
                <w:bCs/>
                <w:color w:val="000000" w:themeColor="text1"/>
                <w:sz w:val="22"/>
                <w:szCs w:val="22"/>
              </w:rPr>
              <w:t xml:space="preserve"> zda se lokalita </w:t>
            </w:r>
            <w:r w:rsidRPr="00933696">
              <w:rPr>
                <w:rFonts w:cs="Calibri"/>
                <w:color w:val="000000"/>
                <w:sz w:val="22"/>
                <w:szCs w:val="22"/>
              </w:rPr>
              <w:t>nenachází se v Systému evidence kontaminovaných míst (</w:t>
            </w:r>
            <w:hyperlink r:id="rId12" w:history="1">
              <w:r w:rsidRPr="00933696">
                <w:rPr>
                  <w:rStyle w:val="Hypertextovodkaz"/>
                  <w:sz w:val="22"/>
                  <w:szCs w:val="22"/>
                </w:rPr>
                <w:t>https://www.sekm.cz/portal/</w:t>
              </w:r>
            </w:hyperlink>
            <w:r w:rsidRPr="00933696">
              <w:rPr>
                <w:sz w:val="22"/>
                <w:szCs w:val="22"/>
              </w:rPr>
              <w:t>)</w:t>
            </w:r>
            <w:r w:rsidRPr="00933696">
              <w:rPr>
                <w:rStyle w:val="Hypertextovodkaz"/>
                <w:sz w:val="22"/>
                <w:szCs w:val="22"/>
              </w:rPr>
              <w:t xml:space="preserve"> </w:t>
            </w:r>
            <w:r w:rsidRPr="00933696">
              <w:rPr>
                <w:rStyle w:val="Hypertextovodkaz"/>
                <w:color w:val="000000" w:themeColor="text1"/>
                <w:sz w:val="22"/>
                <w:szCs w:val="22"/>
                <w:u w:val="none"/>
              </w:rPr>
              <w:t>v kategoriích A1, A2, A3, P3, P4.</w:t>
            </w:r>
            <w:r w:rsidRPr="00933696">
              <w:rPr>
                <w:rStyle w:val="Znakapoznpodarou"/>
                <w:rFonts w:cs="Calibri"/>
                <w:sz w:val="22"/>
                <w:szCs w:val="22"/>
              </w:rPr>
              <w:footnoteReference w:id="6"/>
            </w:r>
            <w:r w:rsidR="00033244" w:rsidRPr="00933696">
              <w:rPr>
                <w:rStyle w:val="Hypertextovodkaz"/>
                <w:color w:val="000000" w:themeColor="text1"/>
                <w:sz w:val="22"/>
                <w:szCs w:val="22"/>
                <w:u w:val="none"/>
              </w:rPr>
              <w:t>, výsledek šetření je doložen</w:t>
            </w:r>
            <w:r w:rsidR="00033244" w:rsidRPr="003F1794">
              <w:rPr>
                <w:rStyle w:val="Znakapoznpodarou"/>
                <w:color w:val="000000" w:themeColor="text1"/>
                <w:sz w:val="20"/>
                <w:szCs w:val="20"/>
                <w:u w:val="single"/>
              </w:rPr>
              <w:footnoteReference w:id="7"/>
            </w:r>
            <w:r w:rsidR="00033244" w:rsidRPr="003F1794">
              <w:rPr>
                <w:rStyle w:val="Hypertextovodkaz"/>
                <w:color w:val="000000" w:themeColor="text1"/>
                <w:sz w:val="20"/>
                <w:szCs w:val="20"/>
              </w:rPr>
              <w:t xml:space="preserve"> </w:t>
            </w:r>
          </w:p>
        </w:tc>
      </w:tr>
      <w:tr w:rsidR="00CB4B95" w:rsidRPr="00711EF9" w14:paraId="315CCEFE" w14:textId="77777777" w:rsidTr="00FB4A4E">
        <w:tc>
          <w:tcPr>
            <w:tcW w:w="9628" w:type="dxa"/>
          </w:tcPr>
          <w:p w14:paraId="795E4A7E" w14:textId="5E9F3BF1" w:rsidR="00CB4B95" w:rsidRPr="00B54110" w:rsidRDefault="00B54110" w:rsidP="00B54110">
            <w:pPr>
              <w:pStyle w:val="Default"/>
              <w:rPr>
                <w:rFonts w:asciiTheme="minorHAnsi" w:hAnsiTheme="minorHAnsi" w:cstheme="minorHAnsi"/>
                <w:sz w:val="22"/>
                <w:szCs w:val="22"/>
              </w:rPr>
            </w:pPr>
            <w:r w:rsidRPr="00B54110">
              <w:rPr>
                <w:rFonts w:asciiTheme="minorHAnsi" w:hAnsiTheme="minorHAnsi" w:cstheme="minorHAnsi"/>
                <w:sz w:val="22"/>
                <w:szCs w:val="22"/>
              </w:rPr>
              <w:t>U zařízení ICT budou zajištěny požadavky stanovené směrnicí 2011/65/EU o omezení používání některých nebezpečných látek v elektrických a elektronických zařízeních</w:t>
            </w:r>
            <w:r w:rsidR="00397826">
              <w:rPr>
                <w:rFonts w:asciiTheme="minorHAnsi" w:hAnsiTheme="minorHAnsi" w:cstheme="minorHAnsi"/>
                <w:sz w:val="22"/>
                <w:szCs w:val="22"/>
              </w:rPr>
              <w:t>.</w:t>
            </w:r>
            <w:r w:rsidRPr="00B54110">
              <w:rPr>
                <w:rFonts w:asciiTheme="minorHAnsi" w:hAnsiTheme="minorHAnsi" w:cstheme="minorHAnsi"/>
                <w:sz w:val="22"/>
                <w:szCs w:val="22"/>
              </w:rPr>
              <w:t xml:space="preserve"> </w:t>
            </w:r>
          </w:p>
        </w:tc>
      </w:tr>
    </w:tbl>
    <w:p w14:paraId="4B4C3F4C" w14:textId="77777777" w:rsidR="00531D65" w:rsidRDefault="00531D65" w:rsidP="0097581B">
      <w:pPr>
        <w:spacing w:before="120"/>
        <w:jc w:val="both"/>
        <w:rPr>
          <w:rFonts w:asciiTheme="minorHAnsi" w:hAnsiTheme="minorHAnsi" w:cstheme="minorHAnsi"/>
          <w:b/>
          <w:i/>
          <w:sz w:val="22"/>
          <w:szCs w:val="22"/>
        </w:rPr>
      </w:pPr>
    </w:p>
    <w:p w14:paraId="5FCD1A9D" w14:textId="77777777" w:rsidR="00BE69C9" w:rsidRPr="00711EF9" w:rsidRDefault="00BE69C9" w:rsidP="0097581B">
      <w:pPr>
        <w:rPr>
          <w:rFonts w:asciiTheme="minorHAnsi" w:hAnsiTheme="minorHAnsi" w:cstheme="minorHAnsi"/>
          <w:sz w:val="22"/>
          <w:szCs w:val="22"/>
          <w:u w:val="single"/>
        </w:rPr>
      </w:pPr>
    </w:p>
    <w:p w14:paraId="22954413" w14:textId="77777777" w:rsidR="00EA781C"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Ochrana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obnova biologické rozmanitosti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ekosystémů</w:t>
      </w:r>
    </w:p>
    <w:p w14:paraId="53614BFE" w14:textId="77777777" w:rsidR="00EA781C" w:rsidRPr="00711EF9" w:rsidRDefault="00EA781C" w:rsidP="00EA781C">
      <w:pPr>
        <w:jc w:val="both"/>
        <w:rPr>
          <w:rFonts w:asciiTheme="minorHAnsi" w:hAnsiTheme="minorHAnsi" w:cstheme="minorHAnsi"/>
          <w:i/>
          <w:sz w:val="22"/>
          <w:szCs w:val="22"/>
        </w:rPr>
      </w:pPr>
      <w:r w:rsidRPr="00711EF9">
        <w:rPr>
          <w:rFonts w:asciiTheme="minorHAnsi" w:hAnsiTheme="minorHAnsi" w:cstheme="minorHAnsi"/>
          <w:i/>
          <w:sz w:val="22"/>
          <w:szCs w:val="22"/>
        </w:rPr>
        <w:t>Činnost významně poškozuje ochranu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obnovu biologické rozmanitosti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ekosystémů, pokud ve významné míře poškozuje dobrý stav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odolnost ekosystémů nebo poškozuje stav stanovišť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druhů z</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hlediska jejich ochrany,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to včetně těch, které jsou v</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 xml:space="preserve">zájmu </w:t>
      </w:r>
      <w:r w:rsidR="00222337" w:rsidRPr="00711EF9">
        <w:rPr>
          <w:rFonts w:asciiTheme="minorHAnsi" w:hAnsiTheme="minorHAnsi" w:cstheme="minorHAnsi"/>
          <w:i/>
          <w:sz w:val="22"/>
          <w:szCs w:val="22"/>
        </w:rPr>
        <w:t>Evropské u</w:t>
      </w:r>
      <w:r w:rsidRPr="00711EF9">
        <w:rPr>
          <w:rFonts w:asciiTheme="minorHAnsi" w:hAnsiTheme="minorHAnsi" w:cstheme="minorHAnsi"/>
          <w:i/>
          <w:sz w:val="22"/>
          <w:szCs w:val="22"/>
        </w:rPr>
        <w:t>nie.</w:t>
      </w:r>
    </w:p>
    <w:p w14:paraId="189679A9" w14:textId="7A7C5669" w:rsidR="00B710C2" w:rsidRPr="00711EF9" w:rsidRDefault="00B710C2" w:rsidP="00C354C7">
      <w:pPr>
        <w:jc w:val="both"/>
        <w:rPr>
          <w:rFonts w:asciiTheme="minorHAnsi" w:hAnsiTheme="minorHAnsi" w:cstheme="minorHAnsi"/>
          <w:sz w:val="22"/>
          <w:szCs w:val="22"/>
        </w:rPr>
      </w:pPr>
    </w:p>
    <w:p w14:paraId="5A2B3318" w14:textId="71CAB20E"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Aktivity významně nepoškozují tento environmentální cíl, pokud nevedou k významné míře poškození dobrého stavu a odolnosti ekosystémů nebo nepoškodí stav stanovišť a druhů, včetně stanovišť a druhů v zájmu Unie, z hlediska jejich ochrany</w:t>
      </w:r>
    </w:p>
    <w:p w14:paraId="465407B8"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p>
    <w:tbl>
      <w:tblPr>
        <w:tblStyle w:val="Mkatabulky7"/>
        <w:tblW w:w="9634" w:type="dxa"/>
        <w:tblLook w:val="04A0" w:firstRow="1" w:lastRow="0" w:firstColumn="1" w:lastColumn="0" w:noHBand="0" w:noVBand="1"/>
      </w:tblPr>
      <w:tblGrid>
        <w:gridCol w:w="9634"/>
      </w:tblGrid>
      <w:tr w:rsidR="008623D1" w:rsidRPr="00711EF9" w14:paraId="276813A4" w14:textId="77777777" w:rsidTr="00646247">
        <w:tc>
          <w:tcPr>
            <w:tcW w:w="9634" w:type="dxa"/>
          </w:tcPr>
          <w:p w14:paraId="14B98EB0" w14:textId="289383A2" w:rsidR="008623D1" w:rsidRPr="008623D1" w:rsidRDefault="008623D1" w:rsidP="008623D1">
            <w:pPr>
              <w:pStyle w:val="Default"/>
              <w:jc w:val="both"/>
              <w:rPr>
                <w:rFonts w:asciiTheme="minorHAnsi" w:hAnsiTheme="minorHAnsi" w:cstheme="minorHAnsi"/>
                <w:sz w:val="22"/>
                <w:szCs w:val="22"/>
              </w:rPr>
            </w:pPr>
            <w:r w:rsidRPr="008623D1">
              <w:rPr>
                <w:rFonts w:asciiTheme="minorHAnsi" w:hAnsiTheme="minorHAnsi" w:cstheme="minorHAnsi"/>
                <w:sz w:val="22"/>
                <w:szCs w:val="22"/>
              </w:rPr>
              <w:t xml:space="preserve">U podpořených projektů se nepředpokládají činnosti, které poškozují biologickou rozmanitost a ekosystémy </w:t>
            </w:r>
          </w:p>
          <w:p w14:paraId="6F29888A" w14:textId="2592165E" w:rsidR="008623D1" w:rsidRPr="00711EF9" w:rsidRDefault="008623D1" w:rsidP="008623D1">
            <w:pPr>
              <w:jc w:val="both"/>
              <w:rPr>
                <w:rFonts w:asciiTheme="minorHAnsi" w:eastAsiaTheme="minorHAnsi" w:hAnsiTheme="minorHAnsi" w:cstheme="minorHAnsi"/>
                <w:bCs/>
                <w:color w:val="000000" w:themeColor="text1"/>
                <w:sz w:val="22"/>
                <w:szCs w:val="22"/>
              </w:rPr>
            </w:pPr>
            <w:r w:rsidRPr="008623D1">
              <w:rPr>
                <w:rFonts w:asciiTheme="minorHAnsi" w:hAnsiTheme="minorHAnsi" w:cstheme="minorHAnsi"/>
                <w:sz w:val="22"/>
                <w:szCs w:val="22"/>
              </w:rPr>
              <w:t>Budou-li přesto v rámci projektu vykonávány činnosti jakýmkoli způsobem ovlivňující biologickou rozmanitost a ekosystémy, budou realizovány v souladu s příslušnou legislativou</w:t>
            </w:r>
            <w:r w:rsidR="00486737">
              <w:rPr>
                <w:rFonts w:asciiTheme="minorHAnsi" w:hAnsiTheme="minorHAnsi" w:cstheme="minorHAnsi"/>
                <w:sz w:val="22"/>
                <w:szCs w:val="22"/>
              </w:rPr>
              <w:t xml:space="preserve"> a dle zákona č. 100/2021 Sb</w:t>
            </w:r>
            <w:r w:rsidR="000B7276">
              <w:rPr>
                <w:rFonts w:asciiTheme="minorHAnsi" w:hAnsiTheme="minorHAnsi" w:cstheme="minorHAnsi"/>
                <w:sz w:val="22"/>
                <w:szCs w:val="22"/>
              </w:rPr>
              <w:t>.</w:t>
            </w:r>
            <w:r w:rsidR="00486737">
              <w:rPr>
                <w:rFonts w:asciiTheme="minorHAnsi" w:hAnsiTheme="minorHAnsi" w:cstheme="minorHAnsi"/>
                <w:sz w:val="22"/>
                <w:szCs w:val="22"/>
              </w:rPr>
              <w:t>, o posuzován</w:t>
            </w:r>
            <w:r w:rsidR="001F6956">
              <w:rPr>
                <w:rFonts w:asciiTheme="minorHAnsi" w:hAnsiTheme="minorHAnsi" w:cstheme="minorHAnsi"/>
                <w:sz w:val="22"/>
                <w:szCs w:val="22"/>
              </w:rPr>
              <w:t>í</w:t>
            </w:r>
            <w:r w:rsidR="00A45E5B">
              <w:rPr>
                <w:rFonts w:asciiTheme="minorHAnsi" w:hAnsiTheme="minorHAnsi" w:cstheme="minorHAnsi"/>
                <w:sz w:val="22"/>
                <w:szCs w:val="22"/>
              </w:rPr>
              <w:t xml:space="preserve"> vlivů na životní prostředí.</w:t>
            </w:r>
          </w:p>
        </w:tc>
      </w:tr>
    </w:tbl>
    <w:p w14:paraId="53544529" w14:textId="77777777" w:rsidR="00675EB9" w:rsidRPr="00711EF9" w:rsidRDefault="00675EB9" w:rsidP="00675EB9">
      <w:pPr>
        <w:keepNext/>
        <w:keepLines/>
        <w:spacing w:before="160" w:line="293" w:lineRule="auto"/>
        <w:outlineLvl w:val="0"/>
        <w:rPr>
          <w:rFonts w:asciiTheme="minorHAnsi" w:eastAsiaTheme="majorEastAsia" w:hAnsiTheme="minorHAnsi" w:cstheme="minorHAnsi"/>
          <w:b/>
          <w:color w:val="000000" w:themeColor="text1"/>
          <w:sz w:val="22"/>
          <w:szCs w:val="22"/>
        </w:rPr>
      </w:pPr>
    </w:p>
    <w:p w14:paraId="1747BD8E" w14:textId="1FCC7F1F" w:rsidR="00A45E5B" w:rsidRPr="00711EF9" w:rsidRDefault="001F6956" w:rsidP="00E4133C">
      <w:pPr>
        <w:pStyle w:val="Nadpis2"/>
        <w:numPr>
          <w:ilvl w:val="0"/>
          <w:numId w:val="29"/>
        </w:numPr>
      </w:pPr>
      <w:bookmarkStart w:id="9" w:name="_Toc140155794"/>
      <w:bookmarkStart w:id="10" w:name="_Toc140155795"/>
      <w:bookmarkStart w:id="11" w:name="_Toc140155796"/>
      <w:bookmarkStart w:id="12" w:name="_Toc140155797"/>
      <w:bookmarkStart w:id="13" w:name="_Toc140155798"/>
      <w:bookmarkStart w:id="14" w:name="_Toc140155799"/>
      <w:bookmarkStart w:id="15" w:name="_Toc140155800"/>
      <w:bookmarkStart w:id="16" w:name="_Toc140155801"/>
      <w:bookmarkStart w:id="17" w:name="_Toc140155802"/>
      <w:bookmarkStart w:id="18" w:name="_Toc140155803"/>
      <w:bookmarkStart w:id="19" w:name="_Toc140155804"/>
      <w:bookmarkStart w:id="20" w:name="_Toc140155805"/>
      <w:bookmarkStart w:id="21" w:name="_Toc140155806"/>
      <w:bookmarkStart w:id="22" w:name="_Toc140155807"/>
      <w:bookmarkStart w:id="23" w:name="_Toc140155808"/>
      <w:bookmarkStart w:id="24" w:name="_Toc140155809"/>
      <w:bookmarkStart w:id="25" w:name="_Toc151583571"/>
      <w:bookmarkStart w:id="26" w:name="_Toc12451741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 xml:space="preserve">Popis </w:t>
      </w:r>
      <w:r w:rsidR="002C1AB0">
        <w:t>prověření přizpůsobení se změně klimatu</w:t>
      </w:r>
      <w:r w:rsidR="00A45E5B" w:rsidRPr="00711EF9">
        <w:t xml:space="preserve"> </w:t>
      </w:r>
      <w:r w:rsidR="0019031C">
        <w:t>a příklady opatření</w:t>
      </w:r>
      <w:bookmarkEnd w:id="25"/>
    </w:p>
    <w:bookmarkEnd w:id="26"/>
    <w:p w14:paraId="25466C1A" w14:textId="77777777" w:rsidR="00F72AB1" w:rsidRDefault="00F72AB1" w:rsidP="00E4133C">
      <w:pPr>
        <w:pStyle w:val="Nadpis2"/>
      </w:pPr>
    </w:p>
    <w:p w14:paraId="649F8296" w14:textId="7F16B5B9"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Nejprve posouzení:</w:t>
      </w:r>
    </w:p>
    <w:p w14:paraId="56619D17" w14:textId="1E475774" w:rsidR="00A01D5B" w:rsidRPr="00711EF9" w:rsidRDefault="00A01D5B" w:rsidP="00A01D5B">
      <w:pPr>
        <w:pStyle w:val="Odstavecseseznamem"/>
        <w:numPr>
          <w:ilvl w:val="0"/>
          <w:numId w:val="18"/>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náchylnosti infrastruktury na projevy změny klimatu, např. ovlivnění vstupů (energie, voda, suroviny) ve vztahu k hlavním projevům změny klimatu (uvedeny níže)</w:t>
      </w:r>
      <w:r w:rsidR="00263F3F">
        <w:rPr>
          <w:rFonts w:asciiTheme="minorHAnsi" w:hAnsiTheme="minorHAnsi" w:cstheme="minorHAnsi"/>
          <w:sz w:val="22"/>
          <w:szCs w:val="22"/>
        </w:rPr>
        <w:t>,</w:t>
      </w:r>
    </w:p>
    <w:p w14:paraId="79D46B12" w14:textId="31F2AFA5" w:rsidR="00A01D5B" w:rsidRPr="00711EF9" w:rsidRDefault="00A01D5B" w:rsidP="00A01D5B">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vlivu na infrastrukturu s ohledem na umístění (polohu) infrastruktury</w:t>
      </w:r>
      <w:r w:rsidR="00263F3F">
        <w:rPr>
          <w:rFonts w:asciiTheme="minorHAnsi" w:hAnsiTheme="minorHAnsi" w:cstheme="minorHAnsi"/>
          <w:sz w:val="22"/>
          <w:szCs w:val="22"/>
        </w:rPr>
        <w:t>,</w:t>
      </w:r>
    </w:p>
    <w:p w14:paraId="651C8B12" w14:textId="464910C0" w:rsidR="00A01D5B" w:rsidRPr="00711EF9" w:rsidRDefault="00A01D5B" w:rsidP="00A01D5B">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identifikaci nejvýznamnějšího rizikového projevu změny klimatu, který infrastrukturu ovlivňuje</w:t>
      </w:r>
      <w:r w:rsidR="00263F3F">
        <w:rPr>
          <w:rFonts w:asciiTheme="minorHAnsi" w:hAnsiTheme="minorHAnsi" w:cstheme="minorHAnsi"/>
          <w:sz w:val="22"/>
          <w:szCs w:val="22"/>
        </w:rPr>
        <w:t>.</w:t>
      </w:r>
      <w:r w:rsidRPr="00711EF9">
        <w:rPr>
          <w:rFonts w:asciiTheme="minorHAnsi" w:hAnsiTheme="minorHAnsi" w:cstheme="minorHAnsi"/>
          <w:sz w:val="22"/>
          <w:szCs w:val="22"/>
        </w:rPr>
        <w:t xml:space="preserve"> </w:t>
      </w:r>
    </w:p>
    <w:p w14:paraId="6D293086" w14:textId="0FECC7A9" w:rsidR="00A01D5B" w:rsidRPr="00711EF9" w:rsidRDefault="00A01D5B" w:rsidP="004563F0">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Poté návrh a realizace vhodných adaptačních opatření u infrastruktury podpořené (i dílčím způsobem) v rámci projektu.</w:t>
      </w:r>
    </w:p>
    <w:p w14:paraId="6037760B" w14:textId="77777777"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Pro území ČR byly identifikovány následující hlavní projevy změny klimatu:</w:t>
      </w:r>
    </w:p>
    <w:p w14:paraId="4AB87D74"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dlouhodobé sucho</w:t>
      </w:r>
    </w:p>
    <w:p w14:paraId="22B1B5D7"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povodně</w:t>
      </w:r>
    </w:p>
    <w:p w14:paraId="1699C5C3"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vydatné srážky</w:t>
      </w:r>
    </w:p>
    <w:p w14:paraId="24447659"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zvyšování teplot</w:t>
      </w:r>
    </w:p>
    <w:p w14:paraId="717D0A1F"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extrémně vysoké teploty</w:t>
      </w:r>
    </w:p>
    <w:p w14:paraId="64FA46A3"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extrémní vítr</w:t>
      </w:r>
    </w:p>
    <w:p w14:paraId="5B868EC7" w14:textId="7787B9B0" w:rsidR="001B5A57" w:rsidRPr="004563F0" w:rsidRDefault="00A01D5B" w:rsidP="004563F0">
      <w:pPr>
        <w:pStyle w:val="Odstavecseseznamem"/>
        <w:numPr>
          <w:ilvl w:val="0"/>
          <w:numId w:val="16"/>
        </w:numPr>
        <w:spacing w:after="120" w:line="264" w:lineRule="auto"/>
        <w:ind w:left="714" w:hanging="357"/>
        <w:jc w:val="both"/>
        <w:rPr>
          <w:rFonts w:asciiTheme="minorHAnsi" w:hAnsiTheme="minorHAnsi" w:cstheme="minorHAnsi"/>
          <w:sz w:val="22"/>
          <w:szCs w:val="22"/>
        </w:rPr>
      </w:pPr>
      <w:r w:rsidRPr="00711EF9">
        <w:rPr>
          <w:rFonts w:asciiTheme="minorHAnsi" w:hAnsiTheme="minorHAnsi" w:cstheme="minorHAnsi"/>
          <w:sz w:val="22"/>
          <w:szCs w:val="22"/>
        </w:rPr>
        <w:t>požáry vegetace</w:t>
      </w:r>
    </w:p>
    <w:p w14:paraId="32210926" w14:textId="77777777" w:rsidR="00A45E5B" w:rsidRDefault="00A45E5B" w:rsidP="00A01D5B">
      <w:pPr>
        <w:spacing w:after="120" w:line="264" w:lineRule="auto"/>
        <w:jc w:val="both"/>
        <w:rPr>
          <w:rFonts w:asciiTheme="minorHAnsi" w:hAnsiTheme="minorHAnsi" w:cstheme="minorHAnsi"/>
          <w:sz w:val="22"/>
          <w:szCs w:val="22"/>
        </w:rPr>
      </w:pPr>
    </w:p>
    <w:p w14:paraId="4CDBF782" w14:textId="5A600EB5"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Příklady vhodných adaptačních opatření u infrastruktury</w:t>
      </w:r>
    </w:p>
    <w:tbl>
      <w:tblPr>
        <w:tblStyle w:val="Mkatabulky"/>
        <w:tblW w:w="0" w:type="auto"/>
        <w:tblLook w:val="04A0" w:firstRow="1" w:lastRow="0" w:firstColumn="1" w:lastColumn="0" w:noHBand="0" w:noVBand="1"/>
      </w:tblPr>
      <w:tblGrid>
        <w:gridCol w:w="3134"/>
        <w:gridCol w:w="6268"/>
      </w:tblGrid>
      <w:tr w:rsidR="00A01D5B" w:rsidRPr="00711EF9" w14:paraId="3FB8D62A" w14:textId="77777777" w:rsidTr="004D0C3B">
        <w:tc>
          <w:tcPr>
            <w:tcW w:w="3134" w:type="dxa"/>
          </w:tcPr>
          <w:p w14:paraId="2DB326D8"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Dlouhodobé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sucho</w:t>
            </w:r>
            <w:proofErr w:type="spellEnd"/>
          </w:p>
        </w:tc>
        <w:tc>
          <w:tcPr>
            <w:tcW w:w="6268" w:type="dxa"/>
          </w:tcPr>
          <w:p w14:paraId="4CE60688"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střechy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pokryté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vegetací</w:t>
            </w:r>
            <w:proofErr w:type="spellEnd"/>
          </w:p>
          <w:p w14:paraId="2F9575FC"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zateplení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obálky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budovy</w:t>
            </w:r>
            <w:proofErr w:type="spellEnd"/>
          </w:p>
          <w:p w14:paraId="13DC1194"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lastRenderedPageBreak/>
              <w:t>výsadba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stromů</w:t>
            </w:r>
            <w:proofErr w:type="spellEnd"/>
          </w:p>
          <w:p w14:paraId="7C9B03BF"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akumulace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dešťové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p>
          <w:p w14:paraId="61EBC44D"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rozvody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užitkové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z </w:t>
            </w:r>
            <w:proofErr w:type="spellStart"/>
            <w:r w:rsidRPr="00711EF9">
              <w:rPr>
                <w:rFonts w:asciiTheme="minorHAnsi" w:hAnsiTheme="minorHAnsi" w:cstheme="minorHAnsi"/>
                <w:sz w:val="22"/>
                <w:szCs w:val="22"/>
              </w:rPr>
              <w:t>akumulované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dešťové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uzavřené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cykly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využití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užitkové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p>
          <w:p w14:paraId="2CD69903"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uzavřené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cykly</w:t>
            </w:r>
            <w:proofErr w:type="spellEnd"/>
            <w:r w:rsidRPr="00711EF9">
              <w:rPr>
                <w:rFonts w:asciiTheme="minorHAnsi" w:hAnsiTheme="minorHAnsi" w:cstheme="minorHAnsi"/>
                <w:sz w:val="22"/>
                <w:szCs w:val="22"/>
              </w:rPr>
              <w:t xml:space="preserve">   </w:t>
            </w:r>
          </w:p>
        </w:tc>
      </w:tr>
      <w:tr w:rsidR="00A01D5B" w:rsidRPr="00711EF9" w14:paraId="7D476F24" w14:textId="77777777" w:rsidTr="004D0C3B">
        <w:tc>
          <w:tcPr>
            <w:tcW w:w="3134" w:type="dxa"/>
          </w:tcPr>
          <w:p w14:paraId="30FCED70"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lastRenderedPageBreak/>
              <w:t>Povodně</w:t>
            </w:r>
            <w:proofErr w:type="spellEnd"/>
            <w:r w:rsidRPr="00711EF9">
              <w:rPr>
                <w:rFonts w:asciiTheme="minorHAnsi" w:hAnsiTheme="minorHAnsi" w:cstheme="minorHAnsi"/>
                <w:sz w:val="22"/>
                <w:szCs w:val="22"/>
              </w:rPr>
              <w:t xml:space="preserve"> </w:t>
            </w:r>
          </w:p>
        </w:tc>
        <w:tc>
          <w:tcPr>
            <w:tcW w:w="6268" w:type="dxa"/>
          </w:tcPr>
          <w:p w14:paraId="722DB5E7" w14:textId="77777777" w:rsidR="00A01D5B" w:rsidRPr="00711EF9"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výstavba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mimo</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záplavové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území</w:t>
            </w:r>
            <w:proofErr w:type="spellEnd"/>
            <w:r w:rsidRPr="00711EF9">
              <w:rPr>
                <w:rFonts w:asciiTheme="minorHAnsi" w:hAnsiTheme="minorHAnsi" w:cstheme="minorHAnsi"/>
                <w:sz w:val="22"/>
                <w:szCs w:val="22"/>
              </w:rPr>
              <w:t xml:space="preserve"> </w:t>
            </w:r>
          </w:p>
          <w:p w14:paraId="1E4E674F" w14:textId="1B6A10FD" w:rsidR="00A01D5B"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napojení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výstražný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meteorologický</w:t>
            </w:r>
            <w:proofErr w:type="spellEnd"/>
            <w:r w:rsidRPr="00711EF9">
              <w:rPr>
                <w:rFonts w:asciiTheme="minorHAnsi" w:hAnsiTheme="minorHAnsi" w:cstheme="minorHAnsi"/>
                <w:sz w:val="22"/>
                <w:szCs w:val="22"/>
              </w:rPr>
              <w:t xml:space="preserve"> </w:t>
            </w:r>
            <w:proofErr w:type="spellStart"/>
            <w:r w:rsidR="001F6956">
              <w:rPr>
                <w:rFonts w:asciiTheme="minorHAnsi" w:hAnsiTheme="minorHAnsi" w:cstheme="minorHAnsi"/>
                <w:sz w:val="22"/>
                <w:szCs w:val="22"/>
              </w:rPr>
              <w:t>systém</w:t>
            </w:r>
            <w:proofErr w:type="spellEnd"/>
          </w:p>
          <w:p w14:paraId="5EA8656A" w14:textId="22FDDC6A" w:rsidR="001F6956" w:rsidRPr="00711EF9" w:rsidRDefault="001F6956" w:rsidP="00A01D5B">
            <w:pPr>
              <w:pStyle w:val="Odstavecseseznamem"/>
              <w:numPr>
                <w:ilvl w:val="0"/>
                <w:numId w:val="22"/>
              </w:numPr>
              <w:spacing w:line="264" w:lineRule="auto"/>
              <w:ind w:left="437" w:hanging="284"/>
              <w:jc w:val="both"/>
              <w:rPr>
                <w:rFonts w:asciiTheme="minorHAnsi" w:hAnsiTheme="minorHAnsi" w:cstheme="minorHAnsi"/>
                <w:sz w:val="22"/>
                <w:szCs w:val="22"/>
              </w:rPr>
            </w:pPr>
            <w:proofErr w:type="spellStart"/>
            <w:r>
              <w:rPr>
                <w:rFonts w:asciiTheme="minorHAnsi" w:hAnsiTheme="minorHAnsi" w:cstheme="minorHAnsi"/>
                <w:sz w:val="22"/>
                <w:szCs w:val="22"/>
              </w:rPr>
              <w:t>vhodné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stavební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úpravy</w:t>
            </w:r>
            <w:proofErr w:type="spellEnd"/>
          </w:p>
        </w:tc>
      </w:tr>
      <w:tr w:rsidR="00A01D5B" w:rsidRPr="00711EF9" w14:paraId="4FE467FF" w14:textId="77777777" w:rsidTr="004D0C3B">
        <w:tc>
          <w:tcPr>
            <w:tcW w:w="3134" w:type="dxa"/>
          </w:tcPr>
          <w:p w14:paraId="387FBDE7"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Vydatné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srážky</w:t>
            </w:r>
            <w:proofErr w:type="spellEnd"/>
          </w:p>
        </w:tc>
        <w:tc>
          <w:tcPr>
            <w:tcW w:w="6268" w:type="dxa"/>
          </w:tcPr>
          <w:p w14:paraId="17A50A48" w14:textId="77777777" w:rsidR="00A01D5B" w:rsidRPr="00711EF9"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napojení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výstražný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meteorologický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systém</w:t>
            </w:r>
            <w:proofErr w:type="spellEnd"/>
          </w:p>
          <w:p w14:paraId="31882AF3" w14:textId="77777777" w:rsidR="00A01D5B" w:rsidRPr="00711EF9"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vhodné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stavební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úpravy</w:t>
            </w:r>
            <w:proofErr w:type="spellEnd"/>
          </w:p>
        </w:tc>
      </w:tr>
      <w:tr w:rsidR="00A01D5B" w:rsidRPr="00711EF9" w14:paraId="3C391664" w14:textId="77777777" w:rsidTr="004D0C3B">
        <w:tc>
          <w:tcPr>
            <w:tcW w:w="3134" w:type="dxa"/>
          </w:tcPr>
          <w:p w14:paraId="08767290"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Zvyšování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teplot</w:t>
            </w:r>
            <w:proofErr w:type="spellEnd"/>
          </w:p>
        </w:tc>
        <w:tc>
          <w:tcPr>
            <w:tcW w:w="6268" w:type="dxa"/>
          </w:tcPr>
          <w:p w14:paraId="4315B862"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střechy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pokryté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vegetací</w:t>
            </w:r>
            <w:proofErr w:type="spellEnd"/>
          </w:p>
          <w:p w14:paraId="334F58AD"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technologie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chlazení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budovy</w:t>
            </w:r>
            <w:proofErr w:type="spellEnd"/>
            <w:r w:rsidRPr="00711EF9">
              <w:rPr>
                <w:rFonts w:asciiTheme="minorHAnsi" w:hAnsiTheme="minorHAnsi" w:cstheme="minorHAnsi"/>
                <w:sz w:val="22"/>
                <w:szCs w:val="22"/>
              </w:rPr>
              <w:t>, v </w:t>
            </w:r>
            <w:proofErr w:type="spellStart"/>
            <w:r w:rsidRPr="00711EF9">
              <w:rPr>
                <w:rFonts w:asciiTheme="minorHAnsi" w:hAnsiTheme="minorHAnsi" w:cstheme="minorHAnsi"/>
                <w:sz w:val="22"/>
                <w:szCs w:val="22"/>
              </w:rPr>
              <w:t>kombinaci</w:t>
            </w:r>
            <w:proofErr w:type="spellEnd"/>
            <w:r w:rsidRPr="00711EF9">
              <w:rPr>
                <w:rFonts w:asciiTheme="minorHAnsi" w:hAnsiTheme="minorHAnsi" w:cstheme="minorHAnsi"/>
                <w:sz w:val="22"/>
                <w:szCs w:val="22"/>
              </w:rPr>
              <w:t xml:space="preserve"> s </w:t>
            </w:r>
            <w:proofErr w:type="spellStart"/>
            <w:r w:rsidRPr="00711EF9">
              <w:rPr>
                <w:rFonts w:asciiTheme="minorHAnsi" w:hAnsiTheme="minorHAnsi" w:cstheme="minorHAnsi"/>
                <w:sz w:val="22"/>
                <w:szCs w:val="22"/>
              </w:rPr>
              <w:t>fotovoltaikou</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energetické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náklady</w:t>
            </w:r>
            <w:proofErr w:type="spellEnd"/>
            <w:r w:rsidRPr="00711EF9">
              <w:rPr>
                <w:rFonts w:asciiTheme="minorHAnsi" w:hAnsiTheme="minorHAnsi" w:cstheme="minorHAnsi"/>
                <w:sz w:val="22"/>
                <w:szCs w:val="22"/>
              </w:rPr>
              <w:t>)</w:t>
            </w:r>
          </w:p>
          <w:p w14:paraId="0609ACDC"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stínící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techniky</w:t>
            </w:r>
            <w:proofErr w:type="spellEnd"/>
          </w:p>
        </w:tc>
      </w:tr>
      <w:tr w:rsidR="00A01D5B" w:rsidRPr="00711EF9" w14:paraId="0EE44851" w14:textId="77777777" w:rsidTr="004D0C3B">
        <w:tc>
          <w:tcPr>
            <w:tcW w:w="3134" w:type="dxa"/>
          </w:tcPr>
          <w:p w14:paraId="751CC315"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Extrémně</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vysoké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teploty</w:t>
            </w:r>
            <w:proofErr w:type="spellEnd"/>
          </w:p>
        </w:tc>
        <w:tc>
          <w:tcPr>
            <w:tcW w:w="6268" w:type="dxa"/>
          </w:tcPr>
          <w:p w14:paraId="6B74E4C7"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střechy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pokryté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vegetací</w:t>
            </w:r>
            <w:proofErr w:type="spellEnd"/>
          </w:p>
          <w:p w14:paraId="7E7992B6"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systémy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řízeného</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větrání</w:t>
            </w:r>
            <w:proofErr w:type="spellEnd"/>
          </w:p>
          <w:p w14:paraId="18FE4A07"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technologie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chlazení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budovy</w:t>
            </w:r>
            <w:proofErr w:type="spellEnd"/>
            <w:r w:rsidRPr="00711EF9">
              <w:rPr>
                <w:rFonts w:asciiTheme="minorHAnsi" w:hAnsiTheme="minorHAnsi" w:cstheme="minorHAnsi"/>
                <w:sz w:val="22"/>
                <w:szCs w:val="22"/>
              </w:rPr>
              <w:t xml:space="preserve"> v </w:t>
            </w:r>
            <w:proofErr w:type="spellStart"/>
            <w:r w:rsidRPr="00711EF9">
              <w:rPr>
                <w:rFonts w:asciiTheme="minorHAnsi" w:hAnsiTheme="minorHAnsi" w:cstheme="minorHAnsi"/>
                <w:sz w:val="22"/>
                <w:szCs w:val="22"/>
              </w:rPr>
              <w:t>kombinaci</w:t>
            </w:r>
            <w:proofErr w:type="spellEnd"/>
            <w:r w:rsidRPr="00711EF9">
              <w:rPr>
                <w:rFonts w:asciiTheme="minorHAnsi" w:hAnsiTheme="minorHAnsi" w:cstheme="minorHAnsi"/>
                <w:sz w:val="22"/>
                <w:szCs w:val="22"/>
              </w:rPr>
              <w:t xml:space="preserve"> s </w:t>
            </w:r>
            <w:proofErr w:type="spellStart"/>
            <w:r w:rsidRPr="00711EF9">
              <w:rPr>
                <w:rFonts w:asciiTheme="minorHAnsi" w:hAnsiTheme="minorHAnsi" w:cstheme="minorHAnsi"/>
                <w:sz w:val="22"/>
                <w:szCs w:val="22"/>
              </w:rPr>
              <w:t>fotovoltaikou</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energetické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náklady</w:t>
            </w:r>
            <w:proofErr w:type="spellEnd"/>
            <w:r w:rsidRPr="00711EF9">
              <w:rPr>
                <w:rFonts w:asciiTheme="minorHAnsi" w:hAnsiTheme="minorHAnsi" w:cstheme="minorHAnsi"/>
                <w:sz w:val="22"/>
                <w:szCs w:val="22"/>
              </w:rPr>
              <w:t>)</w:t>
            </w:r>
          </w:p>
          <w:p w14:paraId="6E6AB666" w14:textId="77777777" w:rsidR="00A01D5B" w:rsidRPr="00711EF9"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stínící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techniky</w:t>
            </w:r>
            <w:proofErr w:type="spellEnd"/>
          </w:p>
        </w:tc>
      </w:tr>
      <w:tr w:rsidR="00A01D5B" w:rsidRPr="00711EF9" w14:paraId="4F243FED" w14:textId="77777777" w:rsidTr="004D0C3B">
        <w:tc>
          <w:tcPr>
            <w:tcW w:w="3134" w:type="dxa"/>
          </w:tcPr>
          <w:p w14:paraId="66B6F635"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Extrémní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vítr</w:t>
            </w:r>
            <w:proofErr w:type="spellEnd"/>
          </w:p>
        </w:tc>
        <w:tc>
          <w:tcPr>
            <w:tcW w:w="6268" w:type="dxa"/>
          </w:tcPr>
          <w:p w14:paraId="14104498" w14:textId="7C147E59"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napojení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na</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výstražný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meteorologický</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systém</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elektronické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propojení</w:t>
            </w:r>
            <w:proofErr w:type="spellEnd"/>
            <w:r w:rsidRPr="00711EF9">
              <w:rPr>
                <w:rFonts w:asciiTheme="minorHAnsi" w:hAnsiTheme="minorHAnsi" w:cstheme="minorHAnsi"/>
                <w:sz w:val="22"/>
                <w:szCs w:val="22"/>
              </w:rPr>
              <w:t xml:space="preserve"> s </w:t>
            </w:r>
            <w:proofErr w:type="spellStart"/>
            <w:r w:rsidRPr="00711EF9">
              <w:rPr>
                <w:rFonts w:asciiTheme="minorHAnsi" w:hAnsiTheme="minorHAnsi" w:cstheme="minorHAnsi"/>
                <w:sz w:val="22"/>
                <w:szCs w:val="22"/>
              </w:rPr>
              <w:t>vhodnými</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technologiemi</w:t>
            </w:r>
            <w:proofErr w:type="spellEnd"/>
            <w:r w:rsidRPr="00711EF9">
              <w:rPr>
                <w:rFonts w:asciiTheme="minorHAnsi" w:hAnsiTheme="minorHAnsi" w:cstheme="minorHAnsi"/>
                <w:sz w:val="22"/>
                <w:szCs w:val="22"/>
              </w:rPr>
              <w:t xml:space="preserve"> - </w:t>
            </w:r>
            <w:proofErr w:type="spellStart"/>
            <w:r w:rsidRPr="00711EF9">
              <w:rPr>
                <w:rFonts w:asciiTheme="minorHAnsi" w:hAnsiTheme="minorHAnsi" w:cstheme="minorHAnsi"/>
                <w:sz w:val="22"/>
                <w:szCs w:val="22"/>
              </w:rPr>
              <w:t>např</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automatické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uzavření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otvorových</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výplní</w:t>
            </w:r>
            <w:proofErr w:type="spellEnd"/>
          </w:p>
        </w:tc>
      </w:tr>
      <w:tr w:rsidR="00A01D5B" w:rsidRPr="00711EF9" w14:paraId="2F02045A" w14:textId="77777777" w:rsidTr="004D0C3B">
        <w:tc>
          <w:tcPr>
            <w:tcW w:w="3134" w:type="dxa"/>
          </w:tcPr>
          <w:p w14:paraId="3CB55697" w14:textId="77777777" w:rsidR="00A01D5B" w:rsidRPr="00711EF9" w:rsidRDefault="00A01D5B" w:rsidP="004D0C3B">
            <w:pPr>
              <w:spacing w:line="264" w:lineRule="auto"/>
              <w:jc w:val="both"/>
              <w:rPr>
                <w:rFonts w:asciiTheme="minorHAnsi" w:hAnsiTheme="minorHAnsi" w:cstheme="minorHAnsi"/>
                <w:sz w:val="22"/>
                <w:szCs w:val="22"/>
              </w:rPr>
            </w:pPr>
            <w:proofErr w:type="spellStart"/>
            <w:r w:rsidRPr="00711EF9">
              <w:rPr>
                <w:rFonts w:asciiTheme="minorHAnsi" w:hAnsiTheme="minorHAnsi" w:cstheme="minorHAnsi"/>
                <w:sz w:val="22"/>
                <w:szCs w:val="22"/>
              </w:rPr>
              <w:t>Požáry</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vegetace</w:t>
            </w:r>
            <w:proofErr w:type="spellEnd"/>
          </w:p>
        </w:tc>
        <w:tc>
          <w:tcPr>
            <w:tcW w:w="6268" w:type="dxa"/>
          </w:tcPr>
          <w:p w14:paraId="13C7C37D" w14:textId="77777777"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signalizace</w:t>
            </w:r>
            <w:proofErr w:type="spellEnd"/>
          </w:p>
          <w:p w14:paraId="71A343B6" w14:textId="77777777"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vhodné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umístění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hasicích</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prvků</w:t>
            </w:r>
            <w:proofErr w:type="spellEnd"/>
          </w:p>
          <w:p w14:paraId="1F698AE4" w14:textId="77777777" w:rsidR="00A01D5B" w:rsidRPr="00711EF9"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rPr>
            </w:pPr>
            <w:proofErr w:type="spellStart"/>
            <w:r w:rsidRPr="00711EF9">
              <w:rPr>
                <w:rFonts w:asciiTheme="minorHAnsi" w:hAnsiTheme="minorHAnsi" w:cstheme="minorHAnsi"/>
                <w:sz w:val="22"/>
                <w:szCs w:val="22"/>
              </w:rPr>
              <w:t>instalace</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vhodných</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prvků</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zadržování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 </w:t>
            </w:r>
            <w:proofErr w:type="spellStart"/>
            <w:r w:rsidRPr="00711EF9">
              <w:rPr>
                <w:rFonts w:asciiTheme="minorHAnsi" w:hAnsiTheme="minorHAnsi" w:cstheme="minorHAnsi"/>
                <w:sz w:val="22"/>
                <w:szCs w:val="22"/>
              </w:rPr>
              <w:t>např</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jímání</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dešťové</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vody</w:t>
            </w:r>
            <w:proofErr w:type="spellEnd"/>
            <w:r w:rsidRPr="00711EF9">
              <w:rPr>
                <w:rFonts w:asciiTheme="minorHAnsi" w:hAnsiTheme="minorHAnsi" w:cstheme="minorHAnsi"/>
                <w:sz w:val="22"/>
                <w:szCs w:val="22"/>
              </w:rPr>
              <w:t xml:space="preserve"> v </w:t>
            </w:r>
            <w:proofErr w:type="spellStart"/>
            <w:r w:rsidRPr="00711EF9">
              <w:rPr>
                <w:rFonts w:asciiTheme="minorHAnsi" w:hAnsiTheme="minorHAnsi" w:cstheme="minorHAnsi"/>
                <w:sz w:val="22"/>
                <w:szCs w:val="22"/>
              </w:rPr>
              <w:t>areálu</w:t>
            </w:r>
            <w:proofErr w:type="spellEnd"/>
            <w:r w:rsidRPr="00711EF9">
              <w:rPr>
                <w:rFonts w:asciiTheme="minorHAnsi" w:hAnsiTheme="minorHAnsi" w:cstheme="minorHAnsi"/>
                <w:sz w:val="22"/>
                <w:szCs w:val="22"/>
              </w:rPr>
              <w:t xml:space="preserve"> </w:t>
            </w:r>
            <w:proofErr w:type="spellStart"/>
            <w:r w:rsidRPr="00711EF9">
              <w:rPr>
                <w:rFonts w:asciiTheme="minorHAnsi" w:hAnsiTheme="minorHAnsi" w:cstheme="minorHAnsi"/>
                <w:sz w:val="22"/>
                <w:szCs w:val="22"/>
              </w:rPr>
              <w:t>firmy</w:t>
            </w:r>
            <w:proofErr w:type="spellEnd"/>
          </w:p>
        </w:tc>
      </w:tr>
    </w:tbl>
    <w:p w14:paraId="6F7FCD54" w14:textId="0952E7F0" w:rsidR="00A01D5B" w:rsidRPr="00711EF9" w:rsidRDefault="00A01D5B" w:rsidP="00725734">
      <w:pPr>
        <w:spacing w:after="120" w:line="264" w:lineRule="auto"/>
        <w:rPr>
          <w:rFonts w:asciiTheme="minorHAnsi" w:hAnsiTheme="minorHAnsi" w:cstheme="minorHAnsi"/>
          <w:sz w:val="22"/>
          <w:szCs w:val="22"/>
        </w:rPr>
      </w:pPr>
    </w:p>
    <w:p w14:paraId="368DD412" w14:textId="77777777" w:rsidR="00A01D5B" w:rsidRPr="00711EF9" w:rsidRDefault="00A01D5B" w:rsidP="00A01D5B">
      <w:pPr>
        <w:spacing w:line="264" w:lineRule="auto"/>
        <w:rPr>
          <w:rFonts w:asciiTheme="minorHAnsi" w:hAnsiTheme="minorHAnsi" w:cstheme="minorHAnsi"/>
          <w:sz w:val="22"/>
          <w:szCs w:val="22"/>
        </w:rPr>
      </w:pPr>
    </w:p>
    <w:p w14:paraId="7A0D812A" w14:textId="081D7401"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Jako podklad pro </w:t>
      </w:r>
      <w:r w:rsidR="00A45E5B">
        <w:rPr>
          <w:rFonts w:asciiTheme="minorHAnsi" w:hAnsiTheme="minorHAnsi" w:cstheme="minorHAnsi"/>
          <w:sz w:val="22"/>
          <w:szCs w:val="22"/>
        </w:rPr>
        <w:t>posouzení</w:t>
      </w:r>
      <w:r w:rsidRPr="00711EF9">
        <w:rPr>
          <w:rFonts w:asciiTheme="minorHAnsi" w:hAnsiTheme="minorHAnsi" w:cstheme="minorHAnsi"/>
          <w:sz w:val="22"/>
          <w:szCs w:val="22"/>
        </w:rPr>
        <w:t xml:space="preserve"> lze využít např. Aktualizaci Komplexní studie dopadů, zranitelnosti a zdrojů rizik souvisejících se změnou klimatu v ČR z roku 2015, zpracovanou ČHMÚ v r. 2019, Strategii přizpůsobení se změně klimatu v podmínkách ČR, 1. aktualizaci pro období 2021 – 2030, webové stránky Klimatická změna v České republice (</w:t>
      </w:r>
      <w:hyperlink r:id="rId13" w:history="1">
        <w:r w:rsidRPr="00711EF9">
          <w:rPr>
            <w:rStyle w:val="Hypertextovodkaz"/>
            <w:rFonts w:asciiTheme="minorHAnsi" w:hAnsiTheme="minorHAnsi" w:cstheme="minorHAnsi"/>
            <w:sz w:val="22"/>
            <w:szCs w:val="22"/>
          </w:rPr>
          <w:t>https://www.klimatickazmena.cz/cs/</w:t>
        </w:r>
      </w:hyperlink>
      <w:r w:rsidRPr="00711EF9">
        <w:rPr>
          <w:rFonts w:asciiTheme="minorHAnsi" w:hAnsiTheme="minorHAnsi" w:cstheme="minorHAnsi"/>
          <w:sz w:val="22"/>
          <w:szCs w:val="22"/>
        </w:rPr>
        <w:t xml:space="preserve">) či výsledky projektu </w:t>
      </w:r>
      <w:proofErr w:type="spellStart"/>
      <w:r w:rsidRPr="00711EF9">
        <w:rPr>
          <w:rFonts w:asciiTheme="minorHAnsi" w:hAnsiTheme="minorHAnsi" w:cstheme="minorHAnsi"/>
          <w:sz w:val="22"/>
          <w:szCs w:val="22"/>
        </w:rPr>
        <w:t>SustES</w:t>
      </w:r>
      <w:proofErr w:type="spellEnd"/>
      <w:r w:rsidRPr="00711EF9">
        <w:rPr>
          <w:rFonts w:asciiTheme="minorHAnsi" w:hAnsiTheme="minorHAnsi" w:cstheme="minorHAnsi"/>
          <w:sz w:val="22"/>
          <w:szCs w:val="22"/>
        </w:rPr>
        <w:t xml:space="preserve"> (ŠTĚPÁNEK, Petr, et al. Očekávané klimatické podmínky v České republice část I. Změna základních parametrů. Brno: Ústav výzkumu globální změny Akademie věd České republiky, 2019. ISBN. 978-8-87902-28-8).</w:t>
      </w:r>
    </w:p>
    <w:p w14:paraId="73212529" w14:textId="6CF8101E"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V návaznosti na Aktualizaci Komplexní studie dopadů, zranitelnosti a zdrojů rizik souvisejících se změnou klimatu v ČR z roku 2015, zpracovanou ČHMÚ v r. 2019, a Strategii přizpůsobení se změně klimatu v podmínkách ČR, 1. aktualizaci pro období 2021–2030, </w:t>
      </w:r>
      <w:r w:rsidRPr="00711EF9">
        <w:rPr>
          <w:rFonts w:asciiTheme="minorHAnsi" w:hAnsiTheme="minorHAnsi" w:cstheme="minorHAnsi"/>
          <w:b/>
          <w:sz w:val="22"/>
          <w:szCs w:val="22"/>
        </w:rPr>
        <w:t>se doporučuje na území České republiky hodnotit expozici jednotlivým klimatickým nebezpečím následovně</w:t>
      </w:r>
      <w:r w:rsidR="00A45E5B">
        <w:rPr>
          <w:rFonts w:asciiTheme="minorHAnsi" w:hAnsiTheme="minorHAnsi" w:cstheme="minorHAnsi"/>
          <w:b/>
          <w:sz w:val="22"/>
          <w:szCs w:val="22"/>
        </w:rPr>
        <w:t>:</w:t>
      </w:r>
    </w:p>
    <w:p w14:paraId="599B8E4E"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 xml:space="preserve">nebezpečí dlouhodobého sucha </w:t>
      </w:r>
      <w:r w:rsidRPr="00711EF9">
        <w:rPr>
          <w:rFonts w:asciiTheme="minorHAnsi" w:hAnsiTheme="minorHAnsi" w:cstheme="minorHAnsi"/>
          <w:iCs/>
          <w:sz w:val="22"/>
          <w:szCs w:val="22"/>
        </w:rPr>
        <w:t>jsou odhadované budoucí změny srážek značně nejisté. Ze stávajících podkladů lze usuzovat, že dlouhodobým suchem jsou ohroženy zejména kraje Jihomoravský, Olomoucký a hlavní město Praha, zčásti pak Zlínský kraj, Moravskoslezský kraj, Kraj Vysočina, Pardubický kraj, Královéhradecký kraj, Středočeský kraj, Plzeňský i Ústecký kraj.</w:t>
      </w:r>
    </w:p>
    <w:p w14:paraId="3FAF1C47" w14:textId="048E3EA1"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nebezpeční povodní</w:t>
      </w:r>
      <w:r w:rsidRPr="00711EF9">
        <w:rPr>
          <w:rFonts w:asciiTheme="minorHAnsi" w:hAnsiTheme="minorHAnsi" w:cstheme="minorHAnsi"/>
          <w:iCs/>
          <w:sz w:val="22"/>
          <w:szCs w:val="22"/>
        </w:rPr>
        <w:t xml:space="preserve"> se doporučuje vycházet a) v územích s významným povodňovým rizikem z výstupů mapování povodňové směrnice, které jsou v datovém skladu MŽP, a b) mimo tato území z mapových podkladů stanovených záplavových území, v případě přívalových povodní z mapy kritických bodů. Pokud lokalita/umístění projektu leží v aktivní zóně stanoveného záplavového území (AZZU)</w:t>
      </w:r>
      <w:r w:rsidR="00A45E5B">
        <w:rPr>
          <w:rFonts w:asciiTheme="minorHAnsi" w:hAnsiTheme="minorHAnsi" w:cstheme="minorHAnsi"/>
          <w:iCs/>
          <w:sz w:val="22"/>
          <w:szCs w:val="22"/>
        </w:rPr>
        <w:t>, leží v záplavovém území</w:t>
      </w:r>
      <w:r w:rsidR="002C1AB0">
        <w:rPr>
          <w:rFonts w:asciiTheme="minorHAnsi" w:hAnsiTheme="minorHAnsi" w:cstheme="minorHAnsi"/>
          <w:iCs/>
          <w:sz w:val="22"/>
          <w:szCs w:val="22"/>
        </w:rPr>
        <w:t xml:space="preserve"> (Q100)</w:t>
      </w:r>
      <w:r w:rsidRPr="00711EF9">
        <w:rPr>
          <w:rFonts w:asciiTheme="minorHAnsi" w:hAnsiTheme="minorHAnsi" w:cstheme="minorHAnsi"/>
          <w:iCs/>
          <w:sz w:val="22"/>
          <w:szCs w:val="22"/>
        </w:rPr>
        <w:t xml:space="preserve"> nebo je v bezprostřední blízkosti kritického bodu, je </w:t>
      </w:r>
      <w:r w:rsidR="00A45E5B">
        <w:rPr>
          <w:rFonts w:asciiTheme="minorHAnsi" w:hAnsiTheme="minorHAnsi" w:cstheme="minorHAnsi"/>
          <w:iCs/>
          <w:sz w:val="22"/>
          <w:szCs w:val="22"/>
        </w:rPr>
        <w:t>třeba zavést adaptační opatření</w:t>
      </w:r>
      <w:r w:rsidRPr="00711EF9">
        <w:rPr>
          <w:rFonts w:asciiTheme="minorHAnsi" w:hAnsiTheme="minorHAnsi" w:cstheme="minorHAnsi"/>
          <w:iCs/>
          <w:sz w:val="22"/>
          <w:szCs w:val="22"/>
        </w:rPr>
        <w:t xml:space="preserve">. </w:t>
      </w:r>
    </w:p>
    <w:p w14:paraId="3BDCB6BF" w14:textId="47DAB018"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lastRenderedPageBreak/>
        <w:t xml:space="preserve">V případě klimatického </w:t>
      </w:r>
      <w:r w:rsidRPr="00711EF9">
        <w:rPr>
          <w:rFonts w:asciiTheme="minorHAnsi" w:hAnsiTheme="minorHAnsi" w:cstheme="minorHAnsi"/>
          <w:b/>
          <w:bCs/>
          <w:iCs/>
          <w:sz w:val="22"/>
          <w:szCs w:val="22"/>
        </w:rPr>
        <w:t>nebezpečí vydatných srážek</w:t>
      </w:r>
      <w:r w:rsidRPr="00711EF9">
        <w:rPr>
          <w:rFonts w:asciiTheme="minorHAnsi" w:hAnsiTheme="minorHAnsi" w:cstheme="minorHAnsi"/>
          <w:iCs/>
          <w:sz w:val="22"/>
          <w:szCs w:val="22"/>
        </w:rPr>
        <w:t xml:space="preserve"> je </w:t>
      </w:r>
      <w:r w:rsidR="001F6956">
        <w:rPr>
          <w:rFonts w:asciiTheme="minorHAnsi" w:hAnsiTheme="minorHAnsi" w:cstheme="minorHAnsi"/>
          <w:iCs/>
          <w:sz w:val="22"/>
          <w:szCs w:val="22"/>
        </w:rPr>
        <w:t xml:space="preserve">třeba zavést adaptační opatření </w:t>
      </w:r>
      <w:r w:rsidRPr="00711EF9">
        <w:rPr>
          <w:rFonts w:asciiTheme="minorHAnsi" w:hAnsiTheme="minorHAnsi" w:cstheme="minorHAnsi"/>
          <w:iCs/>
          <w:sz w:val="22"/>
          <w:szCs w:val="22"/>
        </w:rPr>
        <w:t xml:space="preserve">v místech terénních depresí, místech nedostatečně odvodněných nebo na svazích s velkým sklonem. Dále obecně v geologicky nestabilních oblastech Západních Karpat, </w:t>
      </w:r>
      <w:proofErr w:type="spellStart"/>
      <w:r w:rsidRPr="00711EF9">
        <w:rPr>
          <w:rFonts w:asciiTheme="minorHAnsi" w:hAnsiTheme="minorHAnsi" w:cstheme="minorHAnsi"/>
          <w:iCs/>
          <w:sz w:val="22"/>
          <w:szCs w:val="22"/>
        </w:rPr>
        <w:t>vátých</w:t>
      </w:r>
      <w:proofErr w:type="spellEnd"/>
      <w:r w:rsidRPr="00711EF9">
        <w:rPr>
          <w:rFonts w:asciiTheme="minorHAnsi" w:hAnsiTheme="minorHAnsi" w:cstheme="minorHAnsi"/>
          <w:iCs/>
          <w:sz w:val="22"/>
          <w:szCs w:val="22"/>
        </w:rPr>
        <w:t xml:space="preserve"> písků na </w:t>
      </w:r>
      <w:proofErr w:type="spellStart"/>
      <w:r w:rsidRPr="00711EF9">
        <w:rPr>
          <w:rFonts w:asciiTheme="minorHAnsi" w:hAnsiTheme="minorHAnsi" w:cstheme="minorHAnsi"/>
          <w:iCs/>
          <w:sz w:val="22"/>
          <w:szCs w:val="22"/>
        </w:rPr>
        <w:t>Bzenecku</w:t>
      </w:r>
      <w:proofErr w:type="spellEnd"/>
      <w:r w:rsidRPr="00711EF9">
        <w:rPr>
          <w:rFonts w:asciiTheme="minorHAnsi" w:hAnsiTheme="minorHAnsi" w:cstheme="minorHAnsi"/>
          <w:iCs/>
          <w:sz w:val="22"/>
          <w:szCs w:val="22"/>
        </w:rPr>
        <w:t>, urbanizovaných údolích velkých řek a v horských oblastech.</w:t>
      </w:r>
    </w:p>
    <w:p w14:paraId="1D5B86E5" w14:textId="0E082C82" w:rsidR="00A01D5B" w:rsidRPr="00711EF9" w:rsidRDefault="002C1AB0" w:rsidP="00A01D5B">
      <w:pPr>
        <w:pStyle w:val="Odstavecseseznamem"/>
        <w:numPr>
          <w:ilvl w:val="0"/>
          <w:numId w:val="15"/>
        </w:numPr>
        <w:spacing w:after="120" w:line="264" w:lineRule="auto"/>
        <w:jc w:val="both"/>
        <w:rPr>
          <w:rFonts w:asciiTheme="minorHAnsi" w:hAnsiTheme="minorHAnsi" w:cstheme="minorHAnsi"/>
          <w:sz w:val="22"/>
          <w:szCs w:val="22"/>
        </w:rPr>
      </w:pPr>
      <w:r>
        <w:rPr>
          <w:rFonts w:asciiTheme="minorHAnsi" w:hAnsiTheme="minorHAnsi" w:cstheme="minorHAnsi"/>
          <w:iCs/>
          <w:sz w:val="22"/>
          <w:szCs w:val="22"/>
        </w:rPr>
        <w:t>Klimatické</w:t>
      </w:r>
      <w:r w:rsidR="00A01D5B" w:rsidRPr="00711EF9">
        <w:rPr>
          <w:rFonts w:asciiTheme="minorHAnsi" w:hAnsiTheme="minorHAnsi" w:cstheme="minorHAnsi"/>
          <w:iCs/>
          <w:sz w:val="22"/>
          <w:szCs w:val="22"/>
        </w:rPr>
        <w:t xml:space="preserve"> </w:t>
      </w:r>
      <w:r w:rsidR="00A01D5B" w:rsidRPr="00711EF9">
        <w:rPr>
          <w:rFonts w:asciiTheme="minorHAnsi" w:hAnsiTheme="minorHAnsi" w:cstheme="minorHAnsi"/>
          <w:b/>
          <w:bCs/>
          <w:iCs/>
          <w:sz w:val="22"/>
          <w:szCs w:val="22"/>
        </w:rPr>
        <w:t>nebezpečí</w:t>
      </w:r>
      <w:r w:rsidR="00A01D5B" w:rsidRPr="00711EF9">
        <w:rPr>
          <w:rFonts w:asciiTheme="minorHAnsi" w:hAnsiTheme="minorHAnsi" w:cstheme="minorHAnsi"/>
          <w:iCs/>
          <w:sz w:val="22"/>
          <w:szCs w:val="22"/>
        </w:rPr>
        <w:t xml:space="preserve"> </w:t>
      </w:r>
      <w:r w:rsidR="00A01D5B" w:rsidRPr="00711EF9">
        <w:rPr>
          <w:rFonts w:asciiTheme="minorHAnsi" w:hAnsiTheme="minorHAnsi" w:cstheme="minorHAnsi"/>
          <w:b/>
          <w:bCs/>
          <w:iCs/>
          <w:sz w:val="22"/>
          <w:szCs w:val="22"/>
        </w:rPr>
        <w:t>extrémně vysokých teplot</w:t>
      </w:r>
      <w:r w:rsidR="00A01D5B" w:rsidRPr="00711EF9">
        <w:rPr>
          <w:rFonts w:asciiTheme="minorHAnsi" w:hAnsiTheme="minorHAnsi" w:cstheme="minorHAnsi"/>
          <w:iCs/>
          <w:sz w:val="22"/>
          <w:szCs w:val="22"/>
        </w:rPr>
        <w:t xml:space="preserve"> je obecně v oblastech Žatecka-Lounska, Berounska, Plzeňské pánve, Dolnomoravského a Dyjsko-svrateckého úvalu a </w:t>
      </w:r>
      <w:proofErr w:type="spellStart"/>
      <w:r w:rsidR="00A01D5B" w:rsidRPr="00711EF9">
        <w:rPr>
          <w:rFonts w:asciiTheme="minorHAnsi" w:hAnsiTheme="minorHAnsi" w:cstheme="minorHAnsi"/>
          <w:iCs/>
          <w:sz w:val="22"/>
          <w:szCs w:val="22"/>
        </w:rPr>
        <w:t>intravilánech</w:t>
      </w:r>
      <w:proofErr w:type="spellEnd"/>
      <w:r w:rsidR="00A01D5B" w:rsidRPr="00711EF9">
        <w:rPr>
          <w:rFonts w:asciiTheme="minorHAnsi" w:hAnsiTheme="minorHAnsi" w:cstheme="minorHAnsi"/>
          <w:iCs/>
          <w:sz w:val="22"/>
          <w:szCs w:val="22"/>
        </w:rPr>
        <w:t xml:space="preserve"> velkých měst. V podmínkách budoucího klimatu se očekává rozšíření oblastí exponovaných extrémně vysokým teplotám.</w:t>
      </w:r>
    </w:p>
    <w:p w14:paraId="5B52B9EF"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extrémního větru</w:t>
      </w:r>
      <w:r w:rsidRPr="00711EF9">
        <w:rPr>
          <w:rFonts w:asciiTheme="minorHAnsi" w:hAnsiTheme="minorHAnsi" w:cstheme="minorHAnsi"/>
          <w:iCs/>
          <w:sz w:val="22"/>
          <w:szCs w:val="22"/>
        </w:rPr>
        <w:t xml:space="preserve"> je nejnižší průměrná rychlost větru pozorována v letní sezóně, nejvyšší průměrné rychlosti větru jsou zaznamenány v zimě, nárůst rychlosti je patrný zejména v horských polohách. Scénáře vývoje klimatu v dalších desetiletích popisují možné změny rychlosti větru většinou jen velmi obecně. Možný mírný nárůst intenzity vichřic je situován spíše do oblasti Severního moře a jeho pobřeží a do oblasti Baltu, ve střední Evropě významná změna není indikována.</w:t>
      </w:r>
    </w:p>
    <w:p w14:paraId="0FB3EF40" w14:textId="77777777" w:rsidR="00A01D5B" w:rsidRPr="00711EF9" w:rsidRDefault="00A01D5B" w:rsidP="00A01D5B">
      <w:pPr>
        <w:pStyle w:val="Odstavecseseznamem"/>
        <w:numPr>
          <w:ilvl w:val="0"/>
          <w:numId w:val="15"/>
        </w:numPr>
        <w:autoSpaceDE w:val="0"/>
        <w:autoSpaceDN w:val="0"/>
        <w:adjustRightInd w:val="0"/>
        <w:spacing w:after="120" w:line="264" w:lineRule="auto"/>
        <w:jc w:val="both"/>
        <w:rPr>
          <w:rFonts w:asciiTheme="minorHAnsi" w:hAnsiTheme="minorHAnsi" w:cstheme="minorHAnsi"/>
          <w:iCs/>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požárů vegetace</w:t>
      </w:r>
      <w:r w:rsidRPr="00711EF9">
        <w:rPr>
          <w:rFonts w:asciiTheme="minorHAnsi" w:hAnsiTheme="minorHAnsi" w:cstheme="minorHAnsi"/>
          <w:iCs/>
          <w:sz w:val="22"/>
          <w:szCs w:val="22"/>
        </w:rPr>
        <w:t xml:space="preserve"> není možné předvídat, jelikož je ovlivňuje velké množství faktorů (činnost člověka, meteorologické jevy, stav vegetace apod.) Na základě vyhodnoceného indexu nebezpečí požárů však lze vydávat výstrahy, podle kterých mohou příslušné instituce přijímat opatření.</w:t>
      </w:r>
    </w:p>
    <w:p w14:paraId="3C3732BA" w14:textId="2F2CADD7" w:rsidR="00A01D5B" w:rsidRDefault="00A01D5B" w:rsidP="00A01D5B">
      <w:pPr>
        <w:jc w:val="both"/>
        <w:rPr>
          <w:rFonts w:asciiTheme="minorHAnsi" w:hAnsiTheme="minorHAnsi" w:cstheme="minorHAnsi"/>
          <w:sz w:val="22"/>
          <w:szCs w:val="22"/>
        </w:rPr>
      </w:pPr>
    </w:p>
    <w:p w14:paraId="7419C879" w14:textId="77777777" w:rsidR="007903CF" w:rsidRPr="00711EF9" w:rsidRDefault="007903CF" w:rsidP="00A01D5B">
      <w:pPr>
        <w:jc w:val="both"/>
        <w:rPr>
          <w:rFonts w:asciiTheme="minorHAnsi" w:hAnsiTheme="minorHAnsi" w:cstheme="minorHAnsi"/>
          <w:sz w:val="22"/>
          <w:szCs w:val="22"/>
        </w:rPr>
      </w:pPr>
    </w:p>
    <w:p w14:paraId="2CA1CB36" w14:textId="32D611AE" w:rsidR="00A01D5B" w:rsidRPr="00646247" w:rsidRDefault="00A01D5B" w:rsidP="0019031C">
      <w:pPr>
        <w:pStyle w:val="Nadpis1"/>
        <w:numPr>
          <w:ilvl w:val="0"/>
          <w:numId w:val="29"/>
        </w:numPr>
      </w:pPr>
      <w:bookmarkStart w:id="27" w:name="_Toc151583572"/>
      <w:r w:rsidRPr="00646247">
        <w:t>Čestné prohlášení</w:t>
      </w:r>
      <w:bookmarkEnd w:id="27"/>
      <w:r w:rsidRPr="00646247">
        <w:t xml:space="preserve"> </w:t>
      </w:r>
    </w:p>
    <w:p w14:paraId="65DAE180" w14:textId="77777777" w:rsidR="001D02C8" w:rsidRDefault="001D02C8" w:rsidP="00A01D5B">
      <w:pPr>
        <w:jc w:val="both"/>
        <w:rPr>
          <w:rFonts w:asciiTheme="minorHAnsi" w:hAnsiTheme="minorHAnsi" w:cstheme="minorHAnsi"/>
          <w:sz w:val="22"/>
          <w:szCs w:val="22"/>
        </w:rPr>
      </w:pPr>
    </w:p>
    <w:p w14:paraId="17D3D5D1" w14:textId="77777777" w:rsidR="001D02C8" w:rsidRDefault="001D02C8" w:rsidP="001D02C8">
      <w:pPr>
        <w:spacing w:line="264" w:lineRule="auto"/>
        <w:jc w:val="both"/>
        <w:rPr>
          <w:rFonts w:cstheme="minorHAnsi"/>
        </w:rPr>
      </w:pPr>
      <w:r w:rsidRPr="00832986">
        <w:rPr>
          <w:rFonts w:cstheme="minorHAnsi"/>
        </w:rPr>
        <w:t>Čestně prohlašuji, že</w:t>
      </w:r>
    </w:p>
    <w:p w14:paraId="34BE7ED4" w14:textId="77777777" w:rsidR="001D02C8" w:rsidRPr="00920927" w:rsidRDefault="001D02C8" w:rsidP="001D02C8">
      <w:pPr>
        <w:pStyle w:val="Odstavecseseznamem"/>
        <w:numPr>
          <w:ilvl w:val="0"/>
          <w:numId w:val="61"/>
        </w:numPr>
        <w:spacing w:after="120" w:line="264" w:lineRule="auto"/>
        <w:ind w:left="760" w:hanging="357"/>
        <w:contextualSpacing w:val="0"/>
        <w:jc w:val="both"/>
        <w:rPr>
          <w:rFonts w:cstheme="minorHAnsi"/>
          <w:b/>
        </w:rPr>
      </w:pPr>
      <w:r w:rsidRPr="00AB0847">
        <w:rPr>
          <w:rFonts w:cstheme="minorHAnsi"/>
          <w:b/>
        </w:rPr>
        <w:t xml:space="preserve">projekt bude realizován v souladu s podmínkami uvedenými v tomto formuláři </w:t>
      </w:r>
      <w:r>
        <w:rPr>
          <w:rFonts w:cstheme="minorHAnsi"/>
        </w:rPr>
        <w:t>prověření zásady „významně nepoškozovat“ a prověření infrastruktury z hlediska klimatického dopadu;</w:t>
      </w:r>
    </w:p>
    <w:p w14:paraId="0B1464EF" w14:textId="77777777" w:rsidR="001D02C8" w:rsidRPr="001A0B68" w:rsidRDefault="001D02C8" w:rsidP="001D02C8">
      <w:pPr>
        <w:pStyle w:val="Odstavecseseznamem"/>
        <w:numPr>
          <w:ilvl w:val="0"/>
          <w:numId w:val="61"/>
        </w:numPr>
        <w:spacing w:after="120" w:line="264" w:lineRule="auto"/>
        <w:ind w:left="760" w:hanging="357"/>
        <w:contextualSpacing w:val="0"/>
        <w:jc w:val="both"/>
        <w:rPr>
          <w:rFonts w:cstheme="minorHAnsi"/>
          <w:b/>
        </w:rPr>
      </w:pPr>
      <w:r w:rsidRPr="0000439B">
        <w:rPr>
          <w:rFonts w:cstheme="minorHAnsi"/>
        </w:rPr>
        <w:t xml:space="preserve">proti předkladateli projektu </w:t>
      </w:r>
      <w:r w:rsidRPr="001A0B68">
        <w:rPr>
          <w:rFonts w:cstheme="minorHAnsi"/>
          <w:b/>
        </w:rPr>
        <w:t>není vedeno řízení pro porušení legislativy v oblasti životního prostředí</w:t>
      </w:r>
      <w:r>
        <w:rPr>
          <w:rFonts w:cstheme="minorHAnsi"/>
          <w:b/>
        </w:rPr>
        <w:t>;</w:t>
      </w:r>
      <w:r w:rsidRPr="0000439B">
        <w:rPr>
          <w:rFonts w:cstheme="minorHAnsi"/>
        </w:rPr>
        <w:t xml:space="preserve"> </w:t>
      </w:r>
    </w:p>
    <w:p w14:paraId="2870D71A" w14:textId="642B9C14" w:rsidR="001D02C8" w:rsidRDefault="001D02C8" w:rsidP="001D02C8">
      <w:pPr>
        <w:pStyle w:val="Odstavecseseznamem"/>
        <w:numPr>
          <w:ilvl w:val="0"/>
          <w:numId w:val="61"/>
        </w:numPr>
        <w:spacing w:after="120" w:line="264" w:lineRule="auto"/>
        <w:ind w:left="760" w:hanging="357"/>
        <w:contextualSpacing w:val="0"/>
        <w:jc w:val="both"/>
        <w:rPr>
          <w:rFonts w:cstheme="minorHAnsi"/>
          <w:b/>
        </w:rPr>
      </w:pPr>
      <w:r w:rsidRPr="0000439B">
        <w:rPr>
          <w:rFonts w:cstheme="minorHAnsi"/>
        </w:rPr>
        <w:t xml:space="preserve">projekt bude realizována </w:t>
      </w:r>
      <w:r w:rsidRPr="001A0B68">
        <w:rPr>
          <w:rFonts w:cstheme="minorHAnsi"/>
          <w:b/>
        </w:rPr>
        <w:t>v souladu s legislativou v oblasti ochrany životního prostředí</w:t>
      </w:r>
      <w:r>
        <w:rPr>
          <w:rFonts w:cstheme="minorHAnsi"/>
          <w:b/>
        </w:rPr>
        <w:t xml:space="preserve"> a zdraví</w:t>
      </w:r>
      <w:r w:rsidRPr="001A0B68">
        <w:rPr>
          <w:rFonts w:cstheme="minorHAnsi"/>
          <w:b/>
        </w:rPr>
        <w:t xml:space="preserve">. </w:t>
      </w:r>
    </w:p>
    <w:p w14:paraId="61428328" w14:textId="5D52FCB6" w:rsidR="00A01D5B" w:rsidRPr="001D02C8" w:rsidRDefault="00A01D5B" w:rsidP="00A01D5B">
      <w:pPr>
        <w:pStyle w:val="Odstavecseseznamem"/>
        <w:numPr>
          <w:ilvl w:val="0"/>
          <w:numId w:val="61"/>
        </w:numPr>
        <w:spacing w:after="120" w:line="264" w:lineRule="auto"/>
        <w:ind w:left="760" w:hanging="357"/>
        <w:contextualSpacing w:val="0"/>
        <w:jc w:val="both"/>
        <w:rPr>
          <w:rFonts w:cstheme="minorHAnsi"/>
          <w:b/>
        </w:rPr>
      </w:pPr>
      <w:r w:rsidRPr="001D02C8">
        <w:rPr>
          <w:rFonts w:asciiTheme="minorHAnsi" w:hAnsiTheme="minorHAnsi" w:cstheme="minorHAnsi"/>
          <w:sz w:val="22"/>
          <w:szCs w:val="22"/>
        </w:rPr>
        <w:t>pro všechny údaje uvedené v tomto formuláři byly využity ověřitelné a důvěryhodné zdroje, žadatel je schopen na základě žádosti řídicího orgánu údaje doložit.</w:t>
      </w:r>
    </w:p>
    <w:p w14:paraId="4FAE7A4F" w14:textId="77777777" w:rsidR="00A01D5B" w:rsidRPr="00711EF9" w:rsidRDefault="00A01D5B" w:rsidP="00A01D5B">
      <w:pPr>
        <w:jc w:val="both"/>
        <w:rPr>
          <w:rFonts w:asciiTheme="minorHAnsi" w:hAnsiTheme="minorHAnsi" w:cstheme="minorHAnsi"/>
          <w:b/>
          <w:sz w:val="22"/>
          <w:szCs w:val="22"/>
        </w:rPr>
      </w:pPr>
    </w:p>
    <w:tbl>
      <w:tblPr>
        <w:tblStyle w:val="Mkatabulky"/>
        <w:tblW w:w="0" w:type="auto"/>
        <w:tblLook w:val="04A0" w:firstRow="1" w:lastRow="0" w:firstColumn="1" w:lastColumn="0" w:noHBand="0" w:noVBand="1"/>
      </w:tblPr>
      <w:tblGrid>
        <w:gridCol w:w="4815"/>
        <w:gridCol w:w="4536"/>
      </w:tblGrid>
      <w:tr w:rsidR="00A01D5B" w:rsidRPr="00711EF9" w14:paraId="4C6A5E22" w14:textId="77777777" w:rsidTr="001B5A57">
        <w:trPr>
          <w:trHeight w:val="417"/>
        </w:trPr>
        <w:tc>
          <w:tcPr>
            <w:tcW w:w="4815" w:type="dxa"/>
          </w:tcPr>
          <w:p w14:paraId="73970E4D"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roofErr w:type="spellStart"/>
            <w:r w:rsidRPr="00711EF9">
              <w:rPr>
                <w:rFonts w:asciiTheme="minorHAnsi" w:hAnsiTheme="minorHAnsi" w:cstheme="minorHAnsi"/>
                <w:b/>
                <w:bCs/>
                <w:color w:val="000000"/>
                <w:sz w:val="22"/>
                <w:szCs w:val="22"/>
              </w:rPr>
              <w:t>Žadatel</w:t>
            </w:r>
            <w:proofErr w:type="spellEnd"/>
            <w:r w:rsidRPr="00711EF9">
              <w:rPr>
                <w:rFonts w:asciiTheme="minorHAnsi" w:hAnsiTheme="minorHAnsi" w:cstheme="minorHAnsi"/>
                <w:b/>
                <w:bCs/>
                <w:color w:val="000000"/>
                <w:sz w:val="22"/>
                <w:szCs w:val="22"/>
              </w:rPr>
              <w:t xml:space="preserve"> – </w:t>
            </w:r>
            <w:proofErr w:type="spellStart"/>
            <w:r w:rsidRPr="00711EF9">
              <w:rPr>
                <w:rFonts w:asciiTheme="minorHAnsi" w:hAnsiTheme="minorHAnsi" w:cstheme="minorHAnsi"/>
                <w:b/>
                <w:bCs/>
                <w:color w:val="000000"/>
                <w:sz w:val="22"/>
                <w:szCs w:val="22"/>
              </w:rPr>
              <w:t>jméno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statutárního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zástupce</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nebo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osoby</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pověřené</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plnou</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mocí</w:t>
            </w:r>
            <w:proofErr w:type="spellEnd"/>
          </w:p>
        </w:tc>
        <w:tc>
          <w:tcPr>
            <w:tcW w:w="4536" w:type="dxa"/>
          </w:tcPr>
          <w:p w14:paraId="050C8581"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r w:rsidR="00A01D5B" w:rsidRPr="00711EF9" w14:paraId="1F1F48A3" w14:textId="77777777" w:rsidTr="001B5A57">
        <w:tc>
          <w:tcPr>
            <w:tcW w:w="4815" w:type="dxa"/>
          </w:tcPr>
          <w:p w14:paraId="27AA2801"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roofErr w:type="spellStart"/>
            <w:r w:rsidRPr="00711EF9">
              <w:rPr>
                <w:rFonts w:asciiTheme="minorHAnsi" w:hAnsiTheme="minorHAnsi" w:cstheme="minorHAnsi"/>
                <w:b/>
                <w:bCs/>
                <w:color w:val="000000"/>
                <w:sz w:val="22"/>
                <w:szCs w:val="22"/>
              </w:rPr>
              <w:t>Podpis</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statutárního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zástupce</w:t>
            </w:r>
            <w:proofErr w:type="spellEnd"/>
          </w:p>
          <w:p w14:paraId="73D5FF46" w14:textId="253EEFC6" w:rsidR="00A01D5B" w:rsidRPr="00711EF9" w:rsidRDefault="00A01D5B" w:rsidP="001B5A57">
            <w:pPr>
              <w:autoSpaceDE w:val="0"/>
              <w:autoSpaceDN w:val="0"/>
              <w:adjustRightInd w:val="0"/>
              <w:rPr>
                <w:rFonts w:asciiTheme="minorHAnsi" w:hAnsiTheme="minorHAnsi" w:cstheme="minorHAnsi"/>
                <w:b/>
                <w:bCs/>
                <w:color w:val="000000"/>
                <w:sz w:val="22"/>
                <w:szCs w:val="22"/>
              </w:rPr>
            </w:pPr>
            <w:proofErr w:type="spellStart"/>
            <w:r w:rsidRPr="00711EF9">
              <w:rPr>
                <w:rFonts w:asciiTheme="minorHAnsi" w:hAnsiTheme="minorHAnsi" w:cstheme="minorHAnsi"/>
                <w:b/>
                <w:bCs/>
                <w:color w:val="000000"/>
                <w:sz w:val="22"/>
                <w:szCs w:val="22"/>
              </w:rPr>
              <w:t>žadatele</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nebo</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osoby</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pověřené</w:t>
            </w:r>
            <w:proofErr w:type="spellEnd"/>
            <w:r w:rsidR="001B5A57"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plnou</w:t>
            </w:r>
            <w:proofErr w:type="spellEnd"/>
            <w:r w:rsidRPr="00711EF9">
              <w:rPr>
                <w:rFonts w:asciiTheme="minorHAnsi" w:hAnsiTheme="minorHAnsi" w:cstheme="minorHAnsi"/>
                <w:b/>
                <w:bCs/>
                <w:color w:val="000000"/>
                <w:sz w:val="22"/>
                <w:szCs w:val="22"/>
              </w:rPr>
              <w:t xml:space="preserve"> </w:t>
            </w:r>
            <w:proofErr w:type="spellStart"/>
            <w:r w:rsidRPr="00711EF9">
              <w:rPr>
                <w:rFonts w:asciiTheme="minorHAnsi" w:hAnsiTheme="minorHAnsi" w:cstheme="minorHAnsi"/>
                <w:b/>
                <w:bCs/>
                <w:color w:val="000000"/>
                <w:sz w:val="22"/>
                <w:szCs w:val="22"/>
              </w:rPr>
              <w:t>mocí</w:t>
            </w:r>
            <w:proofErr w:type="spellEnd"/>
          </w:p>
        </w:tc>
        <w:tc>
          <w:tcPr>
            <w:tcW w:w="4536" w:type="dxa"/>
          </w:tcPr>
          <w:p w14:paraId="73AF1757"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bl>
    <w:p w14:paraId="0E325B93" w14:textId="77777777" w:rsidR="00A01D5B" w:rsidRPr="00711EF9" w:rsidRDefault="00A01D5B" w:rsidP="00A01D5B">
      <w:pPr>
        <w:rPr>
          <w:rFonts w:asciiTheme="minorHAnsi" w:hAnsiTheme="minorHAnsi" w:cstheme="minorHAnsi"/>
          <w:sz w:val="22"/>
          <w:szCs w:val="22"/>
        </w:rPr>
      </w:pPr>
    </w:p>
    <w:p w14:paraId="3F319F9E" w14:textId="682D522C" w:rsidR="00F56908" w:rsidRPr="00711EF9" w:rsidRDefault="00A01D5B" w:rsidP="00646247">
      <w:pPr>
        <w:rPr>
          <w:rFonts w:asciiTheme="minorHAnsi" w:hAnsiTheme="minorHAnsi" w:cstheme="minorHAnsi"/>
          <w:sz w:val="22"/>
          <w:szCs w:val="22"/>
        </w:rPr>
      </w:pPr>
      <w:r w:rsidRPr="00711EF9">
        <w:rPr>
          <w:rFonts w:asciiTheme="minorHAnsi" w:hAnsiTheme="minorHAnsi" w:cstheme="minorHAnsi"/>
          <w:sz w:val="22"/>
          <w:szCs w:val="22"/>
        </w:rPr>
        <w:t>Datum:</w:t>
      </w:r>
      <w:r w:rsidR="001B5A57" w:rsidRPr="00711EF9">
        <w:rPr>
          <w:rFonts w:asciiTheme="minorHAnsi" w:hAnsiTheme="minorHAnsi" w:cstheme="minorHAnsi"/>
          <w:sz w:val="22"/>
          <w:szCs w:val="22"/>
        </w:rPr>
        <w:t xml:space="preserve"> </w:t>
      </w:r>
    </w:p>
    <w:sectPr w:rsidR="00F56908" w:rsidRPr="00711EF9" w:rsidSect="00E86E5F">
      <w:headerReference w:type="default" r:id="rId14"/>
      <w:footerReference w:type="default" r:id="rId15"/>
      <w:pgSz w:w="11906" w:h="16838"/>
      <w:pgMar w:top="402" w:right="1134" w:bottom="1134" w:left="1134" w:header="28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0C9E" w16cex:dateUtc="2023-11-21T10:01:00Z"/>
  <w16cex:commentExtensible w16cex:durableId="29070FC3" w16cex:dateUtc="2023-11-21T10:15:00Z"/>
  <w16cex:commentExtensible w16cex:durableId="29071229" w16cex:dateUtc="2023-11-21T10: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E4A5E" w14:textId="77777777" w:rsidR="00EA1A40" w:rsidRDefault="00EA1A40" w:rsidP="00677FE0">
      <w:r>
        <w:separator/>
      </w:r>
    </w:p>
  </w:endnote>
  <w:endnote w:type="continuationSeparator" w:id="0">
    <w:p w14:paraId="3FEA506A" w14:textId="77777777" w:rsidR="00EA1A40" w:rsidRDefault="00EA1A40"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5DFA" w14:textId="07CE58F8" w:rsidR="000A364D" w:rsidRPr="00F13060" w:rsidRDefault="000A364D" w:rsidP="00F13060">
    <w:pPr>
      <w:pStyle w:val="Zpat"/>
      <w:jc w:val="center"/>
      <w:rPr>
        <w:sz w:val="20"/>
        <w:szCs w:val="20"/>
      </w:rPr>
    </w:pPr>
    <w:r>
      <w:rPr>
        <w:noProof/>
      </w:rPr>
      <w:drawing>
        <wp:anchor distT="0" distB="0" distL="114300" distR="114300" simplePos="0" relativeHeight="251659264" behindDoc="0" locked="0" layoutInCell="1" allowOverlap="1" wp14:anchorId="1237E78E" wp14:editId="2020C31E">
          <wp:simplePos x="0" y="0"/>
          <wp:positionH relativeFrom="margin">
            <wp:posOffset>-158115</wp:posOffset>
          </wp:positionH>
          <wp:positionV relativeFrom="paragraph">
            <wp:posOffset>-47625</wp:posOffset>
          </wp:positionV>
          <wp:extent cx="2948305" cy="424180"/>
          <wp:effectExtent l="0" t="0" r="4445" b="0"/>
          <wp:wrapThrough wrapText="bothSides">
            <wp:wrapPolygon edited="0">
              <wp:start x="0" y="0"/>
              <wp:lineTo x="0" y="20371"/>
              <wp:lineTo x="21493" y="20371"/>
              <wp:lineTo x="21493" y="0"/>
              <wp:lineTo x="0" y="0"/>
            </wp:wrapPolygon>
          </wp:wrapThrough>
          <wp:docPr id="79" name="Obrázek 7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FF2">
      <w:rPr>
        <w:sz w:val="20"/>
        <w:szCs w:val="20"/>
      </w:rPr>
      <w:fldChar w:fldCharType="begin"/>
    </w:r>
    <w:r w:rsidRPr="005E4FF2">
      <w:rPr>
        <w:sz w:val="20"/>
        <w:szCs w:val="20"/>
      </w:rPr>
      <w:instrText>PAGE   \* MERGEFORMAT</w:instrText>
    </w:r>
    <w:r w:rsidRPr="005E4FF2">
      <w:rPr>
        <w:sz w:val="20"/>
        <w:szCs w:val="20"/>
      </w:rPr>
      <w:fldChar w:fldCharType="separate"/>
    </w:r>
    <w:r>
      <w:rPr>
        <w:sz w:val="20"/>
        <w:szCs w:val="20"/>
      </w:rPr>
      <w:t>1</w:t>
    </w:r>
    <w:r w:rsidRPr="005E4FF2">
      <w:rPr>
        <w:noProof/>
        <w:sz w:val="20"/>
        <w:szCs w:val="20"/>
      </w:rPr>
      <w:fldChar w:fldCharType="end"/>
    </w:r>
    <w:r w:rsidRPr="005E4FF2">
      <w:rPr>
        <w:noProof/>
        <w:sz w:val="20"/>
        <w:szCs w:val="20"/>
      </w:rPr>
      <w:t>/</w:t>
    </w:r>
    <w:r w:rsidRPr="005E4FF2">
      <w:rPr>
        <w:rStyle w:val="slostrnky"/>
        <w:rFonts w:asciiTheme="minorHAnsi" w:hAnsiTheme="minorHAnsi" w:cstheme="minorHAnsi"/>
        <w:sz w:val="20"/>
        <w:szCs w:val="20"/>
      </w:rPr>
      <w:fldChar w:fldCharType="begin"/>
    </w:r>
    <w:r w:rsidRPr="005E4FF2">
      <w:rPr>
        <w:rStyle w:val="slostrnky"/>
        <w:rFonts w:asciiTheme="minorHAnsi" w:hAnsiTheme="minorHAnsi" w:cstheme="minorHAnsi"/>
        <w:sz w:val="20"/>
        <w:szCs w:val="20"/>
      </w:rPr>
      <w:instrText xml:space="preserve"> NUMPAGES </w:instrText>
    </w:r>
    <w:r w:rsidRPr="005E4FF2">
      <w:rPr>
        <w:rStyle w:val="slostrnky"/>
        <w:rFonts w:asciiTheme="minorHAnsi" w:hAnsiTheme="minorHAnsi" w:cstheme="minorHAnsi"/>
        <w:sz w:val="20"/>
        <w:szCs w:val="20"/>
      </w:rPr>
      <w:fldChar w:fldCharType="separate"/>
    </w:r>
    <w:r>
      <w:rPr>
        <w:rStyle w:val="slostrnky"/>
        <w:rFonts w:cstheme="minorHAnsi"/>
        <w:sz w:val="20"/>
        <w:szCs w:val="20"/>
      </w:rPr>
      <w:t>15</w:t>
    </w:r>
    <w:r w:rsidRPr="005E4FF2">
      <w:rPr>
        <w:rStyle w:val="slostrnky"/>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FABA" w14:textId="77777777" w:rsidR="00EA1A40" w:rsidRDefault="00EA1A40" w:rsidP="00677FE0">
      <w:r>
        <w:separator/>
      </w:r>
    </w:p>
  </w:footnote>
  <w:footnote w:type="continuationSeparator" w:id="0">
    <w:p w14:paraId="42572CE4" w14:textId="77777777" w:rsidR="00EA1A40" w:rsidRDefault="00EA1A40" w:rsidP="00677FE0">
      <w:r>
        <w:continuationSeparator/>
      </w:r>
    </w:p>
  </w:footnote>
  <w:footnote w:id="1">
    <w:p w14:paraId="350A6B86" w14:textId="15DB1A0F" w:rsidR="000A364D" w:rsidRPr="00F56908" w:rsidRDefault="000A364D" w:rsidP="00F56908">
      <w:pPr>
        <w:pStyle w:val="Textpoznpodarou"/>
        <w:jc w:val="both"/>
        <w:rPr>
          <w:sz w:val="18"/>
          <w:szCs w:val="18"/>
        </w:rPr>
      </w:pPr>
      <w:r>
        <w:rPr>
          <w:rStyle w:val="Znakapoznpodarou"/>
        </w:rPr>
        <w:footnoteRef/>
      </w:r>
      <w:r>
        <w:t xml:space="preserve"> </w:t>
      </w:r>
      <w:r w:rsidRPr="00F56908">
        <w:rPr>
          <w:rFonts w:asciiTheme="minorHAnsi" w:hAnsiTheme="minorHAnsi" w:cstheme="minorHAnsi"/>
          <w:color w:val="000000"/>
          <w:sz w:val="18"/>
          <w:szCs w:val="18"/>
        </w:rPr>
        <w:t xml:space="preserve">Podle Nařízení Evropského parlamentu a Rady (EU) 2021/1060  </w:t>
      </w:r>
      <w:r w:rsidRPr="00F56908">
        <w:rPr>
          <w:rFonts w:asciiTheme="minorHAnsi" w:hAnsiTheme="minorHAnsi" w:cstheme="minorHAnsi"/>
          <w:sz w:val="18"/>
          <w:szCs w:val="18"/>
        </w:rPr>
        <w:t>o společných ustanoveních pro Evropský fond pro regionální rozvoj, Evropský sociální fond plus, Fond soudržnosti, Fond pro spravedlivou transformaci a Evropský námořní, rybářský a akvakulturní fond (dále „Obecné nařízení“) jsou cíle fondů naplňovány v souladu s cílem podpory udržitelného rozvoje podle ustanovení článku 11 Smlouvy o fungování EU s přihlédnutím k cílům OSN pro udržitelný rozvoj, Pařížské dohodě a zásadě „významně nepoškozovat“</w:t>
      </w:r>
    </w:p>
  </w:footnote>
  <w:footnote w:id="2">
    <w:p w14:paraId="69FE52DA" w14:textId="4E29D65F" w:rsidR="000A364D" w:rsidRDefault="000A364D">
      <w:pPr>
        <w:pStyle w:val="Textpoznpodarou"/>
      </w:pPr>
      <w:r>
        <w:rPr>
          <w:rStyle w:val="Znakapoznpodarou"/>
        </w:rPr>
        <w:footnoteRef/>
      </w:r>
      <w:r>
        <w:t xml:space="preserve"> </w:t>
      </w:r>
      <w:r w:rsidRPr="00D84319">
        <w:rPr>
          <w:sz w:val="18"/>
          <w:szCs w:val="18"/>
        </w:rPr>
        <w:t>viz čl.7 Nařízení Evropského parlamentu a Rady (EU) 2021/1058 ze dne 24. června 2021 o Evropském fondu pro regionální rozvoj a o Fondu soudržnosti</w:t>
      </w:r>
      <w:r>
        <w:rPr>
          <w:sz w:val="18"/>
          <w:szCs w:val="18"/>
        </w:rPr>
        <w:t xml:space="preserve"> </w:t>
      </w:r>
      <w:hyperlink r:id="rId1" w:history="1">
        <w:r w:rsidRPr="00B031FB">
          <w:rPr>
            <w:rStyle w:val="Hypertextovodkaz"/>
            <w:sz w:val="18"/>
            <w:szCs w:val="18"/>
          </w:rPr>
          <w:t>https://eur-lex.europa.eu/legal-content/CS/TXT/PDF/?uri=CELEX:32021R1058</w:t>
        </w:r>
      </w:hyperlink>
    </w:p>
  </w:footnote>
  <w:footnote w:id="3">
    <w:p w14:paraId="5FD5B9DD" w14:textId="72D13F5D" w:rsidR="000A364D" w:rsidRDefault="000A364D" w:rsidP="00F56908">
      <w:pPr>
        <w:pStyle w:val="Textpoznpodarou"/>
      </w:pPr>
      <w:r>
        <w:rPr>
          <w:rStyle w:val="Znakapoznpodarou"/>
        </w:rPr>
        <w:footnoteRef/>
      </w:r>
      <w:r>
        <w:t xml:space="preserve"> </w:t>
      </w:r>
      <w:r w:rsidRPr="00B63E7D">
        <w:rPr>
          <w:sz w:val="18"/>
          <w:szCs w:val="18"/>
        </w:rPr>
        <w:t>viz Doplňující informace č. 1 na konci tohoto formuláře</w:t>
      </w:r>
      <w:r>
        <w:t xml:space="preserve"> </w:t>
      </w:r>
    </w:p>
  </w:footnote>
  <w:footnote w:id="4">
    <w:p w14:paraId="1F4EA69A" w14:textId="05B06476" w:rsidR="000A364D" w:rsidRDefault="000A364D">
      <w:pPr>
        <w:pStyle w:val="Textpoznpodarou"/>
      </w:pPr>
      <w:r>
        <w:rPr>
          <w:rStyle w:val="Znakapoznpodarou"/>
        </w:rPr>
        <w:footnoteRef/>
      </w:r>
      <w:r>
        <w:t xml:space="preserve"> </w:t>
      </w:r>
      <w:r w:rsidRPr="00B63E7D">
        <w:rPr>
          <w:sz w:val="18"/>
          <w:szCs w:val="18"/>
        </w:rPr>
        <w:t>K</w:t>
      </w:r>
      <w:bookmarkStart w:id="6" w:name="_Hlk138858963"/>
      <w:r w:rsidRPr="00B63E7D">
        <w:rPr>
          <w:sz w:val="18"/>
          <w:szCs w:val="18"/>
        </w:rPr>
        <w:t>ritéria DNSH se vztahují k environmentálním cílům ve smyslu čl. 17 Nařízení Evropského parlamentu a Rady (EU) 2020/852 („Nařízení o taxonomii“)</w:t>
      </w:r>
      <w:bookmarkEnd w:id="6"/>
      <w:r>
        <w:rPr>
          <w:sz w:val="18"/>
          <w:szCs w:val="18"/>
        </w:rPr>
        <w:t xml:space="preserve">; </w:t>
      </w:r>
      <w:hyperlink r:id="rId2" w:history="1">
        <w:r w:rsidRPr="00B031FB">
          <w:rPr>
            <w:rStyle w:val="Hypertextovodkaz"/>
            <w:sz w:val="18"/>
            <w:szCs w:val="18"/>
          </w:rPr>
          <w:t>https://eur-lex.europa.eu/legal-content/CS/TXT/PDF/?uri=CELEX:32020R0852&amp;from=IT</w:t>
        </w:r>
      </w:hyperlink>
      <w:r>
        <w:rPr>
          <w:sz w:val="18"/>
          <w:szCs w:val="18"/>
        </w:rPr>
        <w:t xml:space="preserve"> </w:t>
      </w:r>
    </w:p>
  </w:footnote>
  <w:footnote w:id="5">
    <w:p w14:paraId="32CA26DF" w14:textId="773F0FA7" w:rsidR="000D7D30" w:rsidRDefault="000D7D30">
      <w:pPr>
        <w:pStyle w:val="Textpoznpodarou"/>
      </w:pPr>
      <w:r>
        <w:rPr>
          <w:rStyle w:val="Znakapoznpodarou"/>
        </w:rPr>
        <w:footnoteRef/>
      </w:r>
      <w:r>
        <w:t xml:space="preserve"> </w:t>
      </w:r>
      <w:hyperlink r:id="rId3" w:history="1">
        <w:r w:rsidRPr="00BC4F59">
          <w:rPr>
            <w:rStyle w:val="Hypertextovodkaz"/>
            <w:sz w:val="18"/>
            <w:szCs w:val="18"/>
          </w:rPr>
          <w:t>https://www.mpo.cz/cz/energetika/energeticka-ucinnost/ekodesign-a-energeticke-stitkovani-vyrobku/oznacovani-vyrobku-energetickymi-stitky--250358/</w:t>
        </w:r>
      </w:hyperlink>
    </w:p>
  </w:footnote>
  <w:footnote w:id="6">
    <w:p w14:paraId="6EC61233" w14:textId="77777777" w:rsidR="000A364D" w:rsidRDefault="000A364D" w:rsidP="00FB4A4E">
      <w:pPr>
        <w:pStyle w:val="Textpoznpodarou"/>
        <w:jc w:val="both"/>
      </w:pPr>
      <w:r>
        <w:rPr>
          <w:rStyle w:val="Znakapoznpodarou"/>
        </w:rPr>
        <w:footnoteRef/>
      </w:r>
      <w:r>
        <w:t xml:space="preserve"> Lokality zařazené v SEKM v kategoriích P1, P2, N1, N2 nepředstavují významné riziko kontaminace.</w:t>
      </w:r>
    </w:p>
  </w:footnote>
  <w:footnote w:id="7">
    <w:p w14:paraId="6C55124E" w14:textId="511798EB" w:rsidR="000A364D" w:rsidRPr="0097581B" w:rsidRDefault="000A364D" w:rsidP="0097581B">
      <w:pPr>
        <w:rPr>
          <w:rFonts w:asciiTheme="minorHAnsi" w:eastAsia="Times New Roman" w:hAnsiTheme="minorHAnsi" w:cs="Arial"/>
          <w:b/>
          <w:sz w:val="18"/>
          <w:szCs w:val="18"/>
        </w:rPr>
      </w:pPr>
      <w:r>
        <w:rPr>
          <w:rStyle w:val="Znakapoznpodarou"/>
        </w:rPr>
        <w:footnoteRef/>
      </w:r>
      <w:r>
        <w:t xml:space="preserve"> </w:t>
      </w:r>
      <w:r w:rsidRPr="0097581B">
        <w:rPr>
          <w:rFonts w:asciiTheme="minorHAnsi" w:hAnsiTheme="minorHAnsi"/>
          <w:sz w:val="18"/>
          <w:szCs w:val="18"/>
        </w:rPr>
        <w:t>v případě,</w:t>
      </w:r>
      <w:r>
        <w:rPr>
          <w:rFonts w:asciiTheme="minorHAnsi" w:hAnsiTheme="minorHAnsi"/>
          <w:sz w:val="18"/>
          <w:szCs w:val="18"/>
        </w:rPr>
        <w:t xml:space="preserve"> že žadatel zjistí evidenci kontam</w:t>
      </w:r>
      <w:r w:rsidR="00B54110">
        <w:rPr>
          <w:rFonts w:asciiTheme="minorHAnsi" w:hAnsiTheme="minorHAnsi"/>
          <w:sz w:val="18"/>
          <w:szCs w:val="18"/>
        </w:rPr>
        <w:t>i</w:t>
      </w:r>
      <w:r>
        <w:rPr>
          <w:rFonts w:asciiTheme="minorHAnsi" w:hAnsiTheme="minorHAnsi"/>
          <w:sz w:val="18"/>
          <w:szCs w:val="18"/>
        </w:rPr>
        <w:t>nované lokality, je n</w:t>
      </w:r>
      <w:r w:rsidRPr="0097581B">
        <w:rPr>
          <w:rFonts w:asciiTheme="minorHAnsi" w:eastAsia="Times New Roman" w:hAnsiTheme="minorHAnsi" w:cs="Arial"/>
          <w:b/>
          <w:sz w:val="18"/>
          <w:szCs w:val="18"/>
        </w:rPr>
        <w:t xml:space="preserve">utno řešit s Ministerstvem životního </w:t>
      </w:r>
      <w:proofErr w:type="gramStart"/>
      <w:r w:rsidRPr="0097581B">
        <w:rPr>
          <w:rFonts w:asciiTheme="minorHAnsi" w:eastAsia="Times New Roman" w:hAnsiTheme="minorHAnsi" w:cs="Arial"/>
          <w:b/>
          <w:sz w:val="18"/>
          <w:szCs w:val="18"/>
        </w:rPr>
        <w:t xml:space="preserve">prostředí, </w:t>
      </w:r>
      <w:r>
        <w:rPr>
          <w:rFonts w:asciiTheme="minorHAnsi" w:eastAsia="Times New Roman" w:hAnsiTheme="minorHAnsi" w:cs="Arial"/>
          <w:b/>
          <w:sz w:val="18"/>
          <w:szCs w:val="18"/>
        </w:rPr>
        <w:t xml:space="preserve"> </w:t>
      </w:r>
      <w:r w:rsidRPr="0097581B">
        <w:rPr>
          <w:rFonts w:asciiTheme="minorHAnsi" w:eastAsia="Times New Roman" w:hAnsiTheme="minorHAnsi" w:cs="Arial"/>
          <w:b/>
          <w:sz w:val="18"/>
          <w:szCs w:val="18"/>
        </w:rPr>
        <w:t>Odborem</w:t>
      </w:r>
      <w:proofErr w:type="gramEnd"/>
      <w:r w:rsidRPr="0097581B">
        <w:rPr>
          <w:rFonts w:asciiTheme="minorHAnsi" w:eastAsia="Times New Roman" w:hAnsiTheme="minorHAnsi" w:cs="Arial"/>
          <w:b/>
          <w:sz w:val="18"/>
          <w:szCs w:val="18"/>
        </w:rPr>
        <w:t xml:space="preserve"> environmentálních rizik a ekologických škod, oddělením sanací. V případě, že v době podání žádosti o podporu bude tato kontaminace již vyřešena, žadatel předloží potvrzení MŽP k této skutečnosti</w:t>
      </w:r>
      <w:r w:rsidR="001C6664">
        <w:rPr>
          <w:rFonts w:asciiTheme="minorHAnsi" w:eastAsia="Times New Roman" w:hAnsiTheme="minorHAnsi"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2E19" w14:textId="2BBF5254" w:rsidR="000A364D" w:rsidRDefault="000A364D" w:rsidP="00E86E5F">
    <w:pPr>
      <w:pStyle w:val="Zhlav"/>
      <w:spacing w:after="240"/>
    </w:pPr>
    <w:r>
      <w:rPr>
        <w:noProof/>
      </w:rPr>
      <w:drawing>
        <wp:anchor distT="0" distB="0" distL="114300" distR="114300" simplePos="0" relativeHeight="251663360" behindDoc="1" locked="0" layoutInCell="1" allowOverlap="1" wp14:anchorId="65C62DD8" wp14:editId="408A0AF2">
          <wp:simplePos x="0" y="0"/>
          <wp:positionH relativeFrom="column">
            <wp:posOffset>5466715</wp:posOffset>
          </wp:positionH>
          <wp:positionV relativeFrom="paragraph">
            <wp:posOffset>-95885</wp:posOffset>
          </wp:positionV>
          <wp:extent cx="980440" cy="524510"/>
          <wp:effectExtent l="0" t="0" r="0" b="8890"/>
          <wp:wrapNone/>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5245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B4962FD" wp14:editId="72ED6E03">
          <wp:simplePos x="0" y="0"/>
          <wp:positionH relativeFrom="margin">
            <wp:posOffset>-466725</wp:posOffset>
          </wp:positionH>
          <wp:positionV relativeFrom="paragraph">
            <wp:posOffset>-133985</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894100"/>
    <w:multiLevelType w:val="hybridMultilevel"/>
    <w:tmpl w:val="FC8D9F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C662F4"/>
    <w:multiLevelType w:val="hybridMultilevel"/>
    <w:tmpl w:val="861F73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7BDCDC"/>
    <w:multiLevelType w:val="hybridMultilevel"/>
    <w:tmpl w:val="5B73C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4991C0"/>
    <w:multiLevelType w:val="hybridMultilevel"/>
    <w:tmpl w:val="7C24F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154E1C"/>
    <w:multiLevelType w:val="hybridMultilevel"/>
    <w:tmpl w:val="C659A0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A56ED2"/>
    <w:multiLevelType w:val="hybridMultilevel"/>
    <w:tmpl w:val="B4ECB2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0CB2E8"/>
    <w:multiLevelType w:val="hybridMultilevel"/>
    <w:tmpl w:val="C13251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B421A1D"/>
    <w:multiLevelType w:val="hybridMultilevel"/>
    <w:tmpl w:val="490007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1D16D34"/>
    <w:multiLevelType w:val="hybridMultilevel"/>
    <w:tmpl w:val="DC52C8A6"/>
    <w:lvl w:ilvl="0" w:tplc="FFFFFFFF">
      <w:start w:val="1"/>
      <w:numFmt w:val="bullet"/>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CF05D1"/>
    <w:multiLevelType w:val="hybridMultilevel"/>
    <w:tmpl w:val="94E8DC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5653110"/>
    <w:multiLevelType w:val="hybridMultilevel"/>
    <w:tmpl w:val="B9A0A5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72E3E16"/>
    <w:multiLevelType w:val="hybridMultilevel"/>
    <w:tmpl w:val="870BA1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D0555DE"/>
    <w:multiLevelType w:val="hybridMultilevel"/>
    <w:tmpl w:val="C916DBB4"/>
    <w:lvl w:ilvl="0" w:tplc="FFFFFFFF">
      <w:start w:val="1"/>
      <w:numFmt w:val="bullet"/>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6675584"/>
    <w:multiLevelType w:val="hybridMultilevel"/>
    <w:tmpl w:val="DBCCB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E86107"/>
    <w:multiLevelType w:val="hybridMultilevel"/>
    <w:tmpl w:val="2DEC376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6" w15:restartNumberingAfterBreak="0">
    <w:nsid w:val="06F05D8F"/>
    <w:multiLevelType w:val="hybridMultilevel"/>
    <w:tmpl w:val="1DAEE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940154D"/>
    <w:multiLevelType w:val="hybridMultilevel"/>
    <w:tmpl w:val="D1009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08E014"/>
    <w:multiLevelType w:val="hybridMultilevel"/>
    <w:tmpl w:val="B37A38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1DA1543"/>
    <w:multiLevelType w:val="hybridMultilevel"/>
    <w:tmpl w:val="C62592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30316F8"/>
    <w:multiLevelType w:val="multilevel"/>
    <w:tmpl w:val="3320A8B2"/>
    <w:numStyleLink w:val="VariantaB-odrky"/>
  </w:abstractNum>
  <w:abstractNum w:abstractNumId="21" w15:restartNumberingAfterBreak="0">
    <w:nsid w:val="14412AD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5E22EA9"/>
    <w:multiLevelType w:val="hybridMultilevel"/>
    <w:tmpl w:val="8FD8C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24" w15:restartNumberingAfterBreak="0">
    <w:nsid w:val="16718A07"/>
    <w:multiLevelType w:val="hybridMultilevel"/>
    <w:tmpl w:val="CDB73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9160657"/>
    <w:multiLevelType w:val="hybridMultilevel"/>
    <w:tmpl w:val="BCAA3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91872DA"/>
    <w:multiLevelType w:val="multilevel"/>
    <w:tmpl w:val="E8A48D7C"/>
    <w:numStyleLink w:val="VariantaA-sla"/>
  </w:abstractNum>
  <w:abstractNum w:abstractNumId="27" w15:restartNumberingAfterBreak="0">
    <w:nsid w:val="1B430CF1"/>
    <w:multiLevelType w:val="hybridMultilevel"/>
    <w:tmpl w:val="1EE6C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19D3BEC"/>
    <w:multiLevelType w:val="hybridMultilevel"/>
    <w:tmpl w:val="37F66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4B90264"/>
    <w:multiLevelType w:val="hybridMultilevel"/>
    <w:tmpl w:val="BD031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89A5EA2"/>
    <w:multiLevelType w:val="multilevel"/>
    <w:tmpl w:val="E8BAE50A"/>
    <w:numStyleLink w:val="VariantaA-odrky"/>
  </w:abstractNum>
  <w:abstractNum w:abstractNumId="31" w15:restartNumberingAfterBreak="0">
    <w:nsid w:val="2C4A6A7E"/>
    <w:multiLevelType w:val="hybridMultilevel"/>
    <w:tmpl w:val="1AA545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C9A41F3"/>
    <w:multiLevelType w:val="hybridMultilevel"/>
    <w:tmpl w:val="9FCC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E1C218B"/>
    <w:multiLevelType w:val="hybridMultilevel"/>
    <w:tmpl w:val="2C2E5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19C7575"/>
    <w:multiLevelType w:val="hybridMultilevel"/>
    <w:tmpl w:val="67BE7F56"/>
    <w:lvl w:ilvl="0" w:tplc="AC6C3398">
      <w:start w:val="1"/>
      <w:numFmt w:val="decimal"/>
      <w:lvlText w:val="%1."/>
      <w:lvlJc w:val="left"/>
      <w:pPr>
        <w:ind w:left="7448" w:hanging="360"/>
      </w:pPr>
      <w:rPr>
        <w:rFonts w:asciiTheme="minorHAnsi" w:eastAsiaTheme="minorHAnsi" w:hAnsiTheme="minorHAnsi" w:cstheme="minorBidi"/>
        <w:b w:val="0"/>
      </w:rPr>
    </w:lvl>
    <w:lvl w:ilvl="1" w:tplc="04050019" w:tentative="1">
      <w:start w:val="1"/>
      <w:numFmt w:val="lowerLetter"/>
      <w:lvlText w:val="%2."/>
      <w:lvlJc w:val="left"/>
      <w:pPr>
        <w:ind w:left="8168" w:hanging="360"/>
      </w:pPr>
    </w:lvl>
    <w:lvl w:ilvl="2" w:tplc="0405001B" w:tentative="1">
      <w:start w:val="1"/>
      <w:numFmt w:val="lowerRoman"/>
      <w:lvlText w:val="%3."/>
      <w:lvlJc w:val="right"/>
      <w:pPr>
        <w:ind w:left="8888" w:hanging="180"/>
      </w:pPr>
    </w:lvl>
    <w:lvl w:ilvl="3" w:tplc="0405000F" w:tentative="1">
      <w:start w:val="1"/>
      <w:numFmt w:val="decimal"/>
      <w:lvlText w:val="%4."/>
      <w:lvlJc w:val="left"/>
      <w:pPr>
        <w:ind w:left="9608" w:hanging="360"/>
      </w:pPr>
    </w:lvl>
    <w:lvl w:ilvl="4" w:tplc="04050019" w:tentative="1">
      <w:start w:val="1"/>
      <w:numFmt w:val="lowerLetter"/>
      <w:lvlText w:val="%5."/>
      <w:lvlJc w:val="left"/>
      <w:pPr>
        <w:ind w:left="10328" w:hanging="360"/>
      </w:pPr>
    </w:lvl>
    <w:lvl w:ilvl="5" w:tplc="0405001B" w:tentative="1">
      <w:start w:val="1"/>
      <w:numFmt w:val="lowerRoman"/>
      <w:lvlText w:val="%6."/>
      <w:lvlJc w:val="right"/>
      <w:pPr>
        <w:ind w:left="11048" w:hanging="180"/>
      </w:pPr>
    </w:lvl>
    <w:lvl w:ilvl="6" w:tplc="0405000F" w:tentative="1">
      <w:start w:val="1"/>
      <w:numFmt w:val="decimal"/>
      <w:lvlText w:val="%7."/>
      <w:lvlJc w:val="left"/>
      <w:pPr>
        <w:ind w:left="11768" w:hanging="360"/>
      </w:pPr>
    </w:lvl>
    <w:lvl w:ilvl="7" w:tplc="04050019" w:tentative="1">
      <w:start w:val="1"/>
      <w:numFmt w:val="lowerLetter"/>
      <w:lvlText w:val="%8."/>
      <w:lvlJc w:val="left"/>
      <w:pPr>
        <w:ind w:left="12488" w:hanging="360"/>
      </w:pPr>
    </w:lvl>
    <w:lvl w:ilvl="8" w:tplc="0405001B" w:tentative="1">
      <w:start w:val="1"/>
      <w:numFmt w:val="lowerRoman"/>
      <w:lvlText w:val="%9."/>
      <w:lvlJc w:val="right"/>
      <w:pPr>
        <w:ind w:left="13208" w:hanging="180"/>
      </w:pPr>
    </w:lvl>
  </w:abstractNum>
  <w:abstractNum w:abstractNumId="35" w15:restartNumberingAfterBreak="0">
    <w:nsid w:val="31A248C9"/>
    <w:multiLevelType w:val="hybridMultilevel"/>
    <w:tmpl w:val="1A522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32A1A57"/>
    <w:multiLevelType w:val="hybridMultilevel"/>
    <w:tmpl w:val="0A7EF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86360D2"/>
    <w:multiLevelType w:val="hybridMultilevel"/>
    <w:tmpl w:val="AA4A6174"/>
    <w:lvl w:ilvl="0" w:tplc="C3BCAC40">
      <w:start w:val="1"/>
      <w:numFmt w:val="low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8" w15:restartNumberingAfterBreak="0">
    <w:nsid w:val="3A452AD8"/>
    <w:multiLevelType w:val="hybridMultilevel"/>
    <w:tmpl w:val="E1749C6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3A7CAE8F"/>
    <w:multiLevelType w:val="hybridMultilevel"/>
    <w:tmpl w:val="C1B81C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B992641"/>
    <w:multiLevelType w:val="hybridMultilevel"/>
    <w:tmpl w:val="67687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BD5180E"/>
    <w:multiLevelType w:val="hybridMultilevel"/>
    <w:tmpl w:val="7800365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2" w15:restartNumberingAfterBreak="0">
    <w:nsid w:val="404C5E28"/>
    <w:multiLevelType w:val="hybridMultilevel"/>
    <w:tmpl w:val="2C2E5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1158E54"/>
    <w:multiLevelType w:val="hybridMultilevel"/>
    <w:tmpl w:val="D32FB6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63775AE"/>
    <w:multiLevelType w:val="hybridMultilevel"/>
    <w:tmpl w:val="608AE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8F23DA1"/>
    <w:multiLevelType w:val="hybridMultilevel"/>
    <w:tmpl w:val="072EB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9D9535D"/>
    <w:multiLevelType w:val="hybridMultilevel"/>
    <w:tmpl w:val="BC5E1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003B20D"/>
    <w:multiLevelType w:val="hybridMultilevel"/>
    <w:tmpl w:val="700AF1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1311AB8"/>
    <w:multiLevelType w:val="hybridMultilevel"/>
    <w:tmpl w:val="8EC0DB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21D59A9"/>
    <w:multiLevelType w:val="hybridMultilevel"/>
    <w:tmpl w:val="08CCF06E"/>
    <w:lvl w:ilvl="0" w:tplc="D530422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68913EF"/>
    <w:multiLevelType w:val="multilevel"/>
    <w:tmpl w:val="E2B033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77C20EE"/>
    <w:multiLevelType w:val="hybridMultilevel"/>
    <w:tmpl w:val="E14F4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54" w15:restartNumberingAfterBreak="0">
    <w:nsid w:val="5AF35F43"/>
    <w:multiLevelType w:val="multilevel"/>
    <w:tmpl w:val="0D8ABE32"/>
    <w:numStyleLink w:val="VariantaB-sla"/>
  </w:abstractNum>
  <w:abstractNum w:abstractNumId="55" w15:restartNumberingAfterBreak="0">
    <w:nsid w:val="64711881"/>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AAE548B"/>
    <w:multiLevelType w:val="multilevel"/>
    <w:tmpl w:val="40406B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7" w15:restartNumberingAfterBreak="0">
    <w:nsid w:val="7775763A"/>
    <w:multiLevelType w:val="hybridMultilevel"/>
    <w:tmpl w:val="5CE964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A9874CC"/>
    <w:multiLevelType w:val="multilevel"/>
    <w:tmpl w:val="1F72A7B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2914" w:hanging="720"/>
      </w:pPr>
      <w:rPr>
        <w:rFonts w:hint="default"/>
        <w:b w:val="0"/>
      </w:rPr>
    </w:lvl>
    <w:lvl w:ilvl="3">
      <w:start w:val="1"/>
      <w:numFmt w:val="decimal"/>
      <w:isLgl/>
      <w:lvlText w:val="%1.%2.%3.%4"/>
      <w:lvlJc w:val="left"/>
      <w:pPr>
        <w:ind w:left="3831" w:hanging="720"/>
      </w:pPr>
      <w:rPr>
        <w:rFonts w:hint="default"/>
        <w:b w:val="0"/>
      </w:rPr>
    </w:lvl>
    <w:lvl w:ilvl="4">
      <w:start w:val="1"/>
      <w:numFmt w:val="decimal"/>
      <w:isLgl/>
      <w:lvlText w:val="%1.%2.%3.%4.%5"/>
      <w:lvlJc w:val="left"/>
      <w:pPr>
        <w:ind w:left="5108" w:hanging="1080"/>
      </w:pPr>
      <w:rPr>
        <w:rFonts w:hint="default"/>
        <w:b w:val="0"/>
      </w:rPr>
    </w:lvl>
    <w:lvl w:ilvl="5">
      <w:start w:val="1"/>
      <w:numFmt w:val="decimal"/>
      <w:isLgl/>
      <w:lvlText w:val="%1.%2.%3.%4.%5.%6"/>
      <w:lvlJc w:val="left"/>
      <w:pPr>
        <w:ind w:left="6025" w:hanging="1080"/>
      </w:pPr>
      <w:rPr>
        <w:rFonts w:hint="default"/>
        <w:b w:val="0"/>
      </w:rPr>
    </w:lvl>
    <w:lvl w:ilvl="6">
      <w:start w:val="1"/>
      <w:numFmt w:val="decimal"/>
      <w:isLgl/>
      <w:lvlText w:val="%1.%2.%3.%4.%5.%6.%7"/>
      <w:lvlJc w:val="left"/>
      <w:pPr>
        <w:ind w:left="7302" w:hanging="1440"/>
      </w:pPr>
      <w:rPr>
        <w:rFonts w:hint="default"/>
        <w:b w:val="0"/>
      </w:rPr>
    </w:lvl>
    <w:lvl w:ilvl="7">
      <w:start w:val="1"/>
      <w:numFmt w:val="decimal"/>
      <w:isLgl/>
      <w:lvlText w:val="%1.%2.%3.%4.%5.%6.%7.%8"/>
      <w:lvlJc w:val="left"/>
      <w:pPr>
        <w:ind w:left="8219" w:hanging="1440"/>
      </w:pPr>
      <w:rPr>
        <w:rFonts w:hint="default"/>
        <w:b w:val="0"/>
      </w:rPr>
    </w:lvl>
    <w:lvl w:ilvl="8">
      <w:start w:val="1"/>
      <w:numFmt w:val="decimal"/>
      <w:isLgl/>
      <w:lvlText w:val="%1.%2.%3.%4.%5.%6.%7.%8.%9"/>
      <w:lvlJc w:val="left"/>
      <w:pPr>
        <w:ind w:left="9496" w:hanging="1800"/>
      </w:pPr>
      <w:rPr>
        <w:rFonts w:hint="default"/>
        <w:b w:val="0"/>
      </w:rPr>
    </w:lvl>
  </w:abstractNum>
  <w:abstractNum w:abstractNumId="59" w15:restartNumberingAfterBreak="0">
    <w:nsid w:val="7B106373"/>
    <w:multiLevelType w:val="hybridMultilevel"/>
    <w:tmpl w:val="22848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EA54340"/>
    <w:multiLevelType w:val="multilevel"/>
    <w:tmpl w:val="62E425B6"/>
    <w:lvl w:ilvl="0">
      <w:start w:val="1"/>
      <w:numFmt w:val="decimal"/>
      <w:lvlText w:val="%1."/>
      <w:lvlJc w:val="left"/>
      <w:pPr>
        <w:ind w:left="1637" w:hanging="360"/>
      </w:pPr>
      <w:rPr>
        <w:rFonts w:asciiTheme="minorHAnsi" w:eastAsiaTheme="minorHAnsi" w:hAnsiTheme="minorHAnsi" w:cstheme="minorBidi" w:hint="default"/>
        <w:sz w:val="28"/>
        <w:szCs w:val="28"/>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b/>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num w:numId="1">
    <w:abstractNumId w:val="23"/>
  </w:num>
  <w:num w:numId="2">
    <w:abstractNumId w:val="53"/>
  </w:num>
  <w:num w:numId="3">
    <w:abstractNumId w:val="47"/>
  </w:num>
  <w:num w:numId="4">
    <w:abstractNumId w:val="15"/>
  </w:num>
  <w:num w:numId="5">
    <w:abstractNumId w:val="54"/>
  </w:num>
  <w:num w:numId="6">
    <w:abstractNumId w:val="30"/>
  </w:num>
  <w:num w:numId="7">
    <w:abstractNumId w:val="26"/>
  </w:num>
  <w:num w:numId="8">
    <w:abstractNumId w:val="20"/>
  </w:num>
  <w:num w:numId="9">
    <w:abstractNumId w:val="44"/>
  </w:num>
  <w:num w:numId="10">
    <w:abstractNumId w:val="34"/>
  </w:num>
  <w:num w:numId="11">
    <w:abstractNumId w:val="49"/>
  </w:num>
  <w:num w:numId="12">
    <w:abstractNumId w:val="60"/>
  </w:num>
  <w:num w:numId="13">
    <w:abstractNumId w:val="55"/>
  </w:num>
  <w:num w:numId="14">
    <w:abstractNumId w:val="21"/>
  </w:num>
  <w:num w:numId="15">
    <w:abstractNumId w:val="22"/>
  </w:num>
  <w:num w:numId="16">
    <w:abstractNumId w:val="46"/>
  </w:num>
  <w:num w:numId="17">
    <w:abstractNumId w:val="40"/>
  </w:num>
  <w:num w:numId="18">
    <w:abstractNumId w:val="59"/>
  </w:num>
  <w:num w:numId="19">
    <w:abstractNumId w:val="56"/>
  </w:num>
  <w:num w:numId="20">
    <w:abstractNumId w:val="45"/>
  </w:num>
  <w:num w:numId="21">
    <w:abstractNumId w:val="25"/>
  </w:num>
  <w:num w:numId="22">
    <w:abstractNumId w:val="32"/>
  </w:num>
  <w:num w:numId="23">
    <w:abstractNumId w:val="14"/>
  </w:num>
  <w:num w:numId="24">
    <w:abstractNumId w:val="27"/>
  </w:num>
  <w:num w:numId="25">
    <w:abstractNumId w:val="36"/>
  </w:num>
  <w:num w:numId="26">
    <w:abstractNumId w:val="16"/>
  </w:num>
  <w:num w:numId="27">
    <w:abstractNumId w:val="28"/>
  </w:num>
  <w:num w:numId="28">
    <w:abstractNumId w:val="42"/>
  </w:num>
  <w:num w:numId="29">
    <w:abstractNumId w:val="58"/>
  </w:num>
  <w:num w:numId="30">
    <w:abstractNumId w:val="17"/>
  </w:num>
  <w:num w:numId="31">
    <w:abstractNumId w:val="38"/>
  </w:num>
  <w:num w:numId="32">
    <w:abstractNumId w:val="50"/>
  </w:num>
  <w:num w:numId="33">
    <w:abstractNumId w:val="33"/>
  </w:num>
  <w:num w:numId="34">
    <w:abstractNumId w:val="35"/>
  </w:num>
  <w:num w:numId="35">
    <w:abstractNumId w:val="37"/>
  </w:num>
  <w:num w:numId="36">
    <w:abstractNumId w:val="29"/>
  </w:num>
  <w:num w:numId="37">
    <w:abstractNumId w:val="19"/>
  </w:num>
  <w:num w:numId="38">
    <w:abstractNumId w:val="31"/>
  </w:num>
  <w:num w:numId="39">
    <w:abstractNumId w:val="6"/>
  </w:num>
  <w:num w:numId="40">
    <w:abstractNumId w:val="39"/>
  </w:num>
  <w:num w:numId="41">
    <w:abstractNumId w:val="2"/>
  </w:num>
  <w:num w:numId="42">
    <w:abstractNumId w:val="51"/>
  </w:num>
  <w:num w:numId="43">
    <w:abstractNumId w:val="10"/>
  </w:num>
  <w:num w:numId="44">
    <w:abstractNumId w:val="5"/>
  </w:num>
  <w:num w:numId="45">
    <w:abstractNumId w:val="9"/>
  </w:num>
  <w:num w:numId="46">
    <w:abstractNumId w:val="57"/>
  </w:num>
  <w:num w:numId="47">
    <w:abstractNumId w:val="0"/>
  </w:num>
  <w:num w:numId="48">
    <w:abstractNumId w:val="13"/>
  </w:num>
  <w:num w:numId="49">
    <w:abstractNumId w:val="3"/>
  </w:num>
  <w:num w:numId="50">
    <w:abstractNumId w:val="18"/>
  </w:num>
  <w:num w:numId="51">
    <w:abstractNumId w:val="8"/>
  </w:num>
  <w:num w:numId="52">
    <w:abstractNumId w:val="12"/>
  </w:num>
  <w:num w:numId="53">
    <w:abstractNumId w:val="52"/>
  </w:num>
  <w:num w:numId="54">
    <w:abstractNumId w:val="7"/>
  </w:num>
  <w:num w:numId="55">
    <w:abstractNumId w:val="4"/>
  </w:num>
  <w:num w:numId="56">
    <w:abstractNumId w:val="43"/>
  </w:num>
  <w:num w:numId="57">
    <w:abstractNumId w:val="11"/>
  </w:num>
  <w:num w:numId="58">
    <w:abstractNumId w:val="1"/>
  </w:num>
  <w:num w:numId="59">
    <w:abstractNumId w:val="24"/>
  </w:num>
  <w:num w:numId="60">
    <w:abstractNumId w:val="48"/>
  </w:num>
  <w:num w:numId="61">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91"/>
    <w:rsid w:val="00015306"/>
    <w:rsid w:val="000162BE"/>
    <w:rsid w:val="0002674B"/>
    <w:rsid w:val="00033244"/>
    <w:rsid w:val="000400D7"/>
    <w:rsid w:val="0004025F"/>
    <w:rsid w:val="0004162E"/>
    <w:rsid w:val="0004542F"/>
    <w:rsid w:val="0004786B"/>
    <w:rsid w:val="00063405"/>
    <w:rsid w:val="00070ADF"/>
    <w:rsid w:val="000809B9"/>
    <w:rsid w:val="00090B40"/>
    <w:rsid w:val="00095A0A"/>
    <w:rsid w:val="000A364D"/>
    <w:rsid w:val="000A5271"/>
    <w:rsid w:val="000B1017"/>
    <w:rsid w:val="000B19F5"/>
    <w:rsid w:val="000B1B3D"/>
    <w:rsid w:val="000B7276"/>
    <w:rsid w:val="000C342E"/>
    <w:rsid w:val="000C4CAF"/>
    <w:rsid w:val="000D2F46"/>
    <w:rsid w:val="000D7D30"/>
    <w:rsid w:val="000E53A3"/>
    <w:rsid w:val="000E68AA"/>
    <w:rsid w:val="000F2425"/>
    <w:rsid w:val="00104AF5"/>
    <w:rsid w:val="001079E0"/>
    <w:rsid w:val="00121485"/>
    <w:rsid w:val="001268B0"/>
    <w:rsid w:val="00126F9F"/>
    <w:rsid w:val="00140A43"/>
    <w:rsid w:val="00147568"/>
    <w:rsid w:val="0015049F"/>
    <w:rsid w:val="00163415"/>
    <w:rsid w:val="0018051B"/>
    <w:rsid w:val="001879C1"/>
    <w:rsid w:val="0019031C"/>
    <w:rsid w:val="0019714A"/>
    <w:rsid w:val="001A5BBE"/>
    <w:rsid w:val="001B1E4A"/>
    <w:rsid w:val="001B5A57"/>
    <w:rsid w:val="001C1641"/>
    <w:rsid w:val="001C6664"/>
    <w:rsid w:val="001D02C8"/>
    <w:rsid w:val="001D27C0"/>
    <w:rsid w:val="001D3E5F"/>
    <w:rsid w:val="001D3F37"/>
    <w:rsid w:val="001E38EA"/>
    <w:rsid w:val="001E74C3"/>
    <w:rsid w:val="001F6937"/>
    <w:rsid w:val="001F6956"/>
    <w:rsid w:val="00200231"/>
    <w:rsid w:val="00207DE5"/>
    <w:rsid w:val="00212B1B"/>
    <w:rsid w:val="00220DE3"/>
    <w:rsid w:val="00220EAC"/>
    <w:rsid w:val="00222337"/>
    <w:rsid w:val="00226754"/>
    <w:rsid w:val="00247CEF"/>
    <w:rsid w:val="0025290D"/>
    <w:rsid w:val="00257551"/>
    <w:rsid w:val="00260372"/>
    <w:rsid w:val="00262DAF"/>
    <w:rsid w:val="00263F3F"/>
    <w:rsid w:val="00265543"/>
    <w:rsid w:val="00274056"/>
    <w:rsid w:val="00285AED"/>
    <w:rsid w:val="00293F70"/>
    <w:rsid w:val="00297700"/>
    <w:rsid w:val="002A1DED"/>
    <w:rsid w:val="002B505F"/>
    <w:rsid w:val="002C1AB0"/>
    <w:rsid w:val="002E2442"/>
    <w:rsid w:val="002E2829"/>
    <w:rsid w:val="002F0E8C"/>
    <w:rsid w:val="00304F8E"/>
    <w:rsid w:val="00310FA0"/>
    <w:rsid w:val="00316521"/>
    <w:rsid w:val="00320481"/>
    <w:rsid w:val="0032330A"/>
    <w:rsid w:val="0032341F"/>
    <w:rsid w:val="003250CB"/>
    <w:rsid w:val="00356B9C"/>
    <w:rsid w:val="00363201"/>
    <w:rsid w:val="00385DDE"/>
    <w:rsid w:val="0039063C"/>
    <w:rsid w:val="003952CB"/>
    <w:rsid w:val="00397826"/>
    <w:rsid w:val="003A46A8"/>
    <w:rsid w:val="003A51AA"/>
    <w:rsid w:val="003A54D1"/>
    <w:rsid w:val="003A6279"/>
    <w:rsid w:val="003A7860"/>
    <w:rsid w:val="003B565A"/>
    <w:rsid w:val="003B6BC6"/>
    <w:rsid w:val="003B7DCC"/>
    <w:rsid w:val="003C076B"/>
    <w:rsid w:val="003D00A1"/>
    <w:rsid w:val="003F1794"/>
    <w:rsid w:val="003F7CE3"/>
    <w:rsid w:val="00401F85"/>
    <w:rsid w:val="00402530"/>
    <w:rsid w:val="00410841"/>
    <w:rsid w:val="00410F2D"/>
    <w:rsid w:val="0041427F"/>
    <w:rsid w:val="00442C15"/>
    <w:rsid w:val="004509E5"/>
    <w:rsid w:val="004563F0"/>
    <w:rsid w:val="00461CA7"/>
    <w:rsid w:val="00464CBB"/>
    <w:rsid w:val="00465F40"/>
    <w:rsid w:val="00467818"/>
    <w:rsid w:val="00486737"/>
    <w:rsid w:val="00486FB9"/>
    <w:rsid w:val="00492546"/>
    <w:rsid w:val="00497397"/>
    <w:rsid w:val="004A0A9B"/>
    <w:rsid w:val="004C0A13"/>
    <w:rsid w:val="004C212A"/>
    <w:rsid w:val="004D0C3B"/>
    <w:rsid w:val="004D13A9"/>
    <w:rsid w:val="004D300B"/>
    <w:rsid w:val="00500232"/>
    <w:rsid w:val="00502BF9"/>
    <w:rsid w:val="00504668"/>
    <w:rsid w:val="00507905"/>
    <w:rsid w:val="005163B7"/>
    <w:rsid w:val="005228CA"/>
    <w:rsid w:val="00531D65"/>
    <w:rsid w:val="00540466"/>
    <w:rsid w:val="005455E1"/>
    <w:rsid w:val="005502BD"/>
    <w:rsid w:val="00556787"/>
    <w:rsid w:val="005621CB"/>
    <w:rsid w:val="00562732"/>
    <w:rsid w:val="00577617"/>
    <w:rsid w:val="00582276"/>
    <w:rsid w:val="005B6C6E"/>
    <w:rsid w:val="005C2560"/>
    <w:rsid w:val="005F7585"/>
    <w:rsid w:val="00602050"/>
    <w:rsid w:val="00605759"/>
    <w:rsid w:val="00607B6E"/>
    <w:rsid w:val="00607F49"/>
    <w:rsid w:val="006104C7"/>
    <w:rsid w:val="00612D9E"/>
    <w:rsid w:val="00617CC1"/>
    <w:rsid w:val="00623D1D"/>
    <w:rsid w:val="00625C65"/>
    <w:rsid w:val="00635966"/>
    <w:rsid w:val="00646247"/>
    <w:rsid w:val="00650C6C"/>
    <w:rsid w:val="00652299"/>
    <w:rsid w:val="00652FE6"/>
    <w:rsid w:val="0065404C"/>
    <w:rsid w:val="00656D4C"/>
    <w:rsid w:val="00662E96"/>
    <w:rsid w:val="0066308D"/>
    <w:rsid w:val="00666297"/>
    <w:rsid w:val="00667898"/>
    <w:rsid w:val="00675EB9"/>
    <w:rsid w:val="00676E30"/>
    <w:rsid w:val="00677FE0"/>
    <w:rsid w:val="006D04EF"/>
    <w:rsid w:val="006E010F"/>
    <w:rsid w:val="006E2FB0"/>
    <w:rsid w:val="006E39EF"/>
    <w:rsid w:val="0070129F"/>
    <w:rsid w:val="007102D2"/>
    <w:rsid w:val="00711EF9"/>
    <w:rsid w:val="00713948"/>
    <w:rsid w:val="00725734"/>
    <w:rsid w:val="00732A8B"/>
    <w:rsid w:val="00752005"/>
    <w:rsid w:val="00753A27"/>
    <w:rsid w:val="00761D71"/>
    <w:rsid w:val="00770660"/>
    <w:rsid w:val="00771888"/>
    <w:rsid w:val="0078092D"/>
    <w:rsid w:val="00785803"/>
    <w:rsid w:val="00785AB2"/>
    <w:rsid w:val="0078757E"/>
    <w:rsid w:val="007903CF"/>
    <w:rsid w:val="00790DA5"/>
    <w:rsid w:val="0079342A"/>
    <w:rsid w:val="007B34EA"/>
    <w:rsid w:val="007B457B"/>
    <w:rsid w:val="007B4949"/>
    <w:rsid w:val="007B7343"/>
    <w:rsid w:val="007B7BAE"/>
    <w:rsid w:val="007C0394"/>
    <w:rsid w:val="007C6791"/>
    <w:rsid w:val="007E4743"/>
    <w:rsid w:val="007F0BC6"/>
    <w:rsid w:val="008010CE"/>
    <w:rsid w:val="00812E2A"/>
    <w:rsid w:val="00814E39"/>
    <w:rsid w:val="00831374"/>
    <w:rsid w:val="00834C34"/>
    <w:rsid w:val="00840679"/>
    <w:rsid w:val="00850360"/>
    <w:rsid w:val="00857580"/>
    <w:rsid w:val="008623D1"/>
    <w:rsid w:val="008629A0"/>
    <w:rsid w:val="00865238"/>
    <w:rsid w:val="008667BF"/>
    <w:rsid w:val="00873493"/>
    <w:rsid w:val="008742E7"/>
    <w:rsid w:val="00884910"/>
    <w:rsid w:val="00895645"/>
    <w:rsid w:val="008A7851"/>
    <w:rsid w:val="008C3782"/>
    <w:rsid w:val="008C6366"/>
    <w:rsid w:val="008D1A47"/>
    <w:rsid w:val="008D4A32"/>
    <w:rsid w:val="008D593A"/>
    <w:rsid w:val="008D694A"/>
    <w:rsid w:val="008D7B5D"/>
    <w:rsid w:val="008E3577"/>
    <w:rsid w:val="008E7760"/>
    <w:rsid w:val="008F4B28"/>
    <w:rsid w:val="009070AE"/>
    <w:rsid w:val="00917199"/>
    <w:rsid w:val="00922001"/>
    <w:rsid w:val="00922C17"/>
    <w:rsid w:val="00933696"/>
    <w:rsid w:val="00935A12"/>
    <w:rsid w:val="00942DDD"/>
    <w:rsid w:val="009516A8"/>
    <w:rsid w:val="0095530F"/>
    <w:rsid w:val="0097581B"/>
    <w:rsid w:val="0097705C"/>
    <w:rsid w:val="00987F6D"/>
    <w:rsid w:val="00990FD8"/>
    <w:rsid w:val="00991509"/>
    <w:rsid w:val="0099390D"/>
    <w:rsid w:val="009A10F9"/>
    <w:rsid w:val="009A7193"/>
    <w:rsid w:val="009C48F4"/>
    <w:rsid w:val="009C62D4"/>
    <w:rsid w:val="009D5B5D"/>
    <w:rsid w:val="009E0892"/>
    <w:rsid w:val="009E49DF"/>
    <w:rsid w:val="009F135F"/>
    <w:rsid w:val="009F2527"/>
    <w:rsid w:val="009F393D"/>
    <w:rsid w:val="009F4A6F"/>
    <w:rsid w:val="009F7F46"/>
    <w:rsid w:val="00A000BF"/>
    <w:rsid w:val="00A01D5B"/>
    <w:rsid w:val="00A0587E"/>
    <w:rsid w:val="00A14FEA"/>
    <w:rsid w:val="00A208F8"/>
    <w:rsid w:val="00A2490A"/>
    <w:rsid w:val="00A275BC"/>
    <w:rsid w:val="00A315CD"/>
    <w:rsid w:val="00A446B2"/>
    <w:rsid w:val="00A45E5B"/>
    <w:rsid w:val="00A464B4"/>
    <w:rsid w:val="00A63D6B"/>
    <w:rsid w:val="00A74337"/>
    <w:rsid w:val="00A84B52"/>
    <w:rsid w:val="00A8660F"/>
    <w:rsid w:val="00A95C48"/>
    <w:rsid w:val="00AA3AFA"/>
    <w:rsid w:val="00AA7056"/>
    <w:rsid w:val="00AB31C6"/>
    <w:rsid w:val="00AB523B"/>
    <w:rsid w:val="00AD0A2C"/>
    <w:rsid w:val="00AD2282"/>
    <w:rsid w:val="00AD7E40"/>
    <w:rsid w:val="00AE3E73"/>
    <w:rsid w:val="00AF0D4A"/>
    <w:rsid w:val="00AF309A"/>
    <w:rsid w:val="00AF5817"/>
    <w:rsid w:val="00B05962"/>
    <w:rsid w:val="00B1477A"/>
    <w:rsid w:val="00B20993"/>
    <w:rsid w:val="00B2150A"/>
    <w:rsid w:val="00B22489"/>
    <w:rsid w:val="00B4043C"/>
    <w:rsid w:val="00B416AB"/>
    <w:rsid w:val="00B42E96"/>
    <w:rsid w:val="00B43046"/>
    <w:rsid w:val="00B452CB"/>
    <w:rsid w:val="00B477C5"/>
    <w:rsid w:val="00B50EE6"/>
    <w:rsid w:val="00B52185"/>
    <w:rsid w:val="00B54110"/>
    <w:rsid w:val="00B63E7D"/>
    <w:rsid w:val="00B668F3"/>
    <w:rsid w:val="00B710C2"/>
    <w:rsid w:val="00B7489F"/>
    <w:rsid w:val="00B75072"/>
    <w:rsid w:val="00B77E71"/>
    <w:rsid w:val="00B8064A"/>
    <w:rsid w:val="00B91835"/>
    <w:rsid w:val="00B95571"/>
    <w:rsid w:val="00B9753A"/>
    <w:rsid w:val="00B97FE8"/>
    <w:rsid w:val="00BB479C"/>
    <w:rsid w:val="00BB499C"/>
    <w:rsid w:val="00BB5501"/>
    <w:rsid w:val="00BC4720"/>
    <w:rsid w:val="00BC4F59"/>
    <w:rsid w:val="00BC5096"/>
    <w:rsid w:val="00BD0F70"/>
    <w:rsid w:val="00BD1F1E"/>
    <w:rsid w:val="00BD75A2"/>
    <w:rsid w:val="00BE5D55"/>
    <w:rsid w:val="00BE6882"/>
    <w:rsid w:val="00BE69C9"/>
    <w:rsid w:val="00BF28D9"/>
    <w:rsid w:val="00C044DF"/>
    <w:rsid w:val="00C2017A"/>
    <w:rsid w:val="00C2026B"/>
    <w:rsid w:val="00C20470"/>
    <w:rsid w:val="00C207B4"/>
    <w:rsid w:val="00C20C9D"/>
    <w:rsid w:val="00C2179B"/>
    <w:rsid w:val="00C34B2F"/>
    <w:rsid w:val="00C354C7"/>
    <w:rsid w:val="00C4641B"/>
    <w:rsid w:val="00C64A88"/>
    <w:rsid w:val="00C6690E"/>
    <w:rsid w:val="00C67963"/>
    <w:rsid w:val="00C703C5"/>
    <w:rsid w:val="00C75760"/>
    <w:rsid w:val="00C805F2"/>
    <w:rsid w:val="00C932BE"/>
    <w:rsid w:val="00C96EFE"/>
    <w:rsid w:val="00CA39FE"/>
    <w:rsid w:val="00CA3AEC"/>
    <w:rsid w:val="00CB4B95"/>
    <w:rsid w:val="00CB5340"/>
    <w:rsid w:val="00CC1154"/>
    <w:rsid w:val="00CC5E40"/>
    <w:rsid w:val="00CD1FC0"/>
    <w:rsid w:val="00CD6315"/>
    <w:rsid w:val="00CD6A69"/>
    <w:rsid w:val="00CE0A52"/>
    <w:rsid w:val="00CF1987"/>
    <w:rsid w:val="00D01038"/>
    <w:rsid w:val="00D010F9"/>
    <w:rsid w:val="00D1569F"/>
    <w:rsid w:val="00D20B1E"/>
    <w:rsid w:val="00D22462"/>
    <w:rsid w:val="00D230AC"/>
    <w:rsid w:val="00D32489"/>
    <w:rsid w:val="00D3349E"/>
    <w:rsid w:val="00D35A33"/>
    <w:rsid w:val="00D54A1F"/>
    <w:rsid w:val="00D6036E"/>
    <w:rsid w:val="00D71378"/>
    <w:rsid w:val="00D73CB8"/>
    <w:rsid w:val="00DA7591"/>
    <w:rsid w:val="00DB026B"/>
    <w:rsid w:val="00DE040F"/>
    <w:rsid w:val="00DF12B1"/>
    <w:rsid w:val="00E016AD"/>
    <w:rsid w:val="00E05B88"/>
    <w:rsid w:val="00E268B6"/>
    <w:rsid w:val="00E32798"/>
    <w:rsid w:val="00E33CC8"/>
    <w:rsid w:val="00E4133C"/>
    <w:rsid w:val="00E51C91"/>
    <w:rsid w:val="00E51F1A"/>
    <w:rsid w:val="00E667C1"/>
    <w:rsid w:val="00E67B5D"/>
    <w:rsid w:val="00E72706"/>
    <w:rsid w:val="00E86E5F"/>
    <w:rsid w:val="00E900BC"/>
    <w:rsid w:val="00E90FD2"/>
    <w:rsid w:val="00E918C9"/>
    <w:rsid w:val="00E92A32"/>
    <w:rsid w:val="00EA1A40"/>
    <w:rsid w:val="00EA781C"/>
    <w:rsid w:val="00EB47BB"/>
    <w:rsid w:val="00EB7A77"/>
    <w:rsid w:val="00EC3F88"/>
    <w:rsid w:val="00ED36D8"/>
    <w:rsid w:val="00EE6BD7"/>
    <w:rsid w:val="00EF2787"/>
    <w:rsid w:val="00EF30C6"/>
    <w:rsid w:val="00F05D72"/>
    <w:rsid w:val="00F0689D"/>
    <w:rsid w:val="00F13060"/>
    <w:rsid w:val="00F21455"/>
    <w:rsid w:val="00F41FE5"/>
    <w:rsid w:val="00F47DD3"/>
    <w:rsid w:val="00F56908"/>
    <w:rsid w:val="00F612B7"/>
    <w:rsid w:val="00F72AB1"/>
    <w:rsid w:val="00F75E53"/>
    <w:rsid w:val="00F8674B"/>
    <w:rsid w:val="00FA182D"/>
    <w:rsid w:val="00FA2691"/>
    <w:rsid w:val="00FA78F2"/>
    <w:rsid w:val="00FB01B5"/>
    <w:rsid w:val="00FB434B"/>
    <w:rsid w:val="00FB4A4E"/>
    <w:rsid w:val="00FC1329"/>
    <w:rsid w:val="00FC4C46"/>
    <w:rsid w:val="00FE4CB2"/>
    <w:rsid w:val="00FE6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DDBA"/>
  <w15:chartTrackingRefBased/>
  <w15:docId w15:val="{E2BDEFCF-1A2E-4A19-9ED1-945EC2C6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6791"/>
    <w:pPr>
      <w:spacing w:after="0" w:line="240" w:lineRule="auto"/>
    </w:pPr>
    <w:rPr>
      <w:rFonts w:ascii="Calibri" w:eastAsia="Calibri" w:hAnsi="Calibri" w:cs="Times New Roman"/>
      <w:sz w:val="24"/>
      <w:szCs w:val="24"/>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Conclusion de partie,_Odstavec se seznamem,Seznam - odrážky,Fiche List Paragraph,List Paragraph (Czech Tourism),Název grafu,nad 1,Odstavec se seznamem2,List Paragraph,2"/>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BE6882"/>
    <w:pPr>
      <w:tabs>
        <w:tab w:val="left" w:pos="440"/>
        <w:tab w:val="right" w:leader="dot" w:pos="9628"/>
      </w:tabs>
      <w:spacing w:after="100"/>
    </w:pPr>
  </w:style>
  <w:style w:type="paragraph" w:styleId="Obsah2">
    <w:name w:val="toc 2"/>
    <w:basedOn w:val="Normln"/>
    <w:next w:val="Normln"/>
    <w:autoRedefine/>
    <w:uiPriority w:val="39"/>
    <w:unhideWhenUsed/>
    <w:rsid w:val="00E51F1A"/>
    <w:pPr>
      <w:tabs>
        <w:tab w:val="right" w:leader="dot" w:pos="9628"/>
      </w:tabs>
      <w:spacing w:after="100"/>
      <w:ind w:left="220"/>
    </w:pPr>
  </w:style>
  <w:style w:type="paragraph" w:styleId="Obsah3">
    <w:name w:val="toc 3"/>
    <w:basedOn w:val="Normln"/>
    <w:next w:val="Normln"/>
    <w:autoRedefine/>
    <w:uiPriority w:val="39"/>
    <w:unhideWhenUsed/>
    <w:rsid w:val="00E51F1A"/>
    <w:pPr>
      <w:tabs>
        <w:tab w:val="right" w:leader="dot" w:pos="9628"/>
      </w:tabs>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o"/>
    <w:basedOn w:val="Normln"/>
    <w:link w:val="TextpoznpodarouChar"/>
    <w:uiPriority w:val="99"/>
    <w:unhideWhenUsed/>
    <w:qFormat/>
    <w:rsid w:val="007C6791"/>
    <w:rPr>
      <w:sz w:val="20"/>
      <w:szCs w:val="20"/>
    </w:r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qFormat/>
    <w:rsid w:val="007C6791"/>
    <w:rPr>
      <w:rFonts w:ascii="Calibri" w:eastAsia="Calibri" w:hAnsi="Calibri" w:cs="Times New Roman"/>
      <w:sz w:val="20"/>
      <w:szCs w:val="20"/>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
    <w:link w:val="stylishCar"/>
    <w:uiPriority w:val="99"/>
    <w:unhideWhenUsed/>
    <w:qFormat/>
    <w:rsid w:val="007C6791"/>
    <w:rPr>
      <w:vertAlign w:val="superscript"/>
    </w:rPr>
  </w:style>
  <w:style w:type="table" w:styleId="Mkatabulky">
    <w:name w:val="Table Grid"/>
    <w:basedOn w:val="Normlntabulka"/>
    <w:uiPriority w:val="39"/>
    <w:rsid w:val="00FA18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listparagraph">
    <w:name w:val="-wm-msolistparagraph"/>
    <w:basedOn w:val="Normln"/>
    <w:rsid w:val="007B457B"/>
    <w:pPr>
      <w:spacing w:before="100" w:beforeAutospacing="1" w:after="100" w:afterAutospacing="1"/>
    </w:pPr>
    <w:rPr>
      <w:rFonts w:ascii="Times New Roman" w:eastAsia="Times New Roman" w:hAnsi="Times New Roman"/>
      <w:lang w:eastAsia="cs-CZ"/>
    </w:rPr>
  </w:style>
  <w:style w:type="paragraph" w:styleId="Textbubliny">
    <w:name w:val="Balloon Text"/>
    <w:basedOn w:val="Normln"/>
    <w:link w:val="TextbublinyChar"/>
    <w:uiPriority w:val="99"/>
    <w:semiHidden/>
    <w:unhideWhenUsed/>
    <w:rsid w:val="009171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7199"/>
    <w:rPr>
      <w:rFonts w:ascii="Segoe UI" w:eastAsia="Calibri" w:hAnsi="Segoe UI" w:cs="Segoe UI"/>
      <w:sz w:val="18"/>
      <w:szCs w:val="18"/>
    </w:rPr>
  </w:style>
  <w:style w:type="character" w:styleId="Nevyeenzmnka">
    <w:name w:val="Unresolved Mention"/>
    <w:basedOn w:val="Standardnpsmoodstavce"/>
    <w:uiPriority w:val="99"/>
    <w:semiHidden/>
    <w:unhideWhenUsed/>
    <w:rsid w:val="007B7BAE"/>
    <w:rPr>
      <w:color w:val="605E5C"/>
      <w:shd w:val="clear" w:color="auto" w:fill="E1DFDD"/>
    </w:rPr>
  </w:style>
  <w:style w:type="character" w:styleId="slostrnky">
    <w:name w:val="page number"/>
    <w:basedOn w:val="Standardnpsmoodstavce"/>
    <w:semiHidden/>
    <w:rsid w:val="00F13060"/>
  </w:style>
  <w:style w:type="character" w:customStyle="1" w:styleId="OdstavecseseznamemChar">
    <w:name w:val="Odstavec se seznamem Char"/>
    <w:aliases w:val="Nad Char,Odstavec cíl se seznamem Char,Odstavec se seznamem5 Char,Odstavec_muj Char,Conclusion de partie Char,_Odstavec se seznamem Char,Seznam - odrážky Char,Fiche List Paragraph Char,List Paragraph (Czech Tourism) Char,2 Char"/>
    <w:link w:val="Odstavecseseznamem"/>
    <w:uiPriority w:val="34"/>
    <w:qFormat/>
    <w:locked/>
    <w:rsid w:val="00E86E5F"/>
    <w:rPr>
      <w:rFonts w:ascii="Calibri" w:eastAsia="Calibri" w:hAnsi="Calibri" w:cs="Times New Roman"/>
      <w:sz w:val="24"/>
      <w:szCs w:val="24"/>
    </w:rPr>
  </w:style>
  <w:style w:type="table" w:customStyle="1" w:styleId="Mkatabulky1">
    <w:name w:val="Mřížka tabulky1"/>
    <w:basedOn w:val="Normlntabulka"/>
    <w:next w:val="Mkatabulky"/>
    <w:uiPriority w:val="59"/>
    <w:rsid w:val="0077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7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ln"/>
    <w:link w:val="Znakapoznpodarou"/>
    <w:uiPriority w:val="99"/>
    <w:rsid w:val="00E918C9"/>
    <w:pPr>
      <w:spacing w:after="160" w:line="240" w:lineRule="exact"/>
      <w:jc w:val="both"/>
    </w:pPr>
    <w:rPr>
      <w:rFonts w:asciiTheme="minorHAnsi" w:eastAsiaTheme="minorHAnsi" w:hAnsiTheme="minorHAnsi" w:cstheme="minorBidi"/>
      <w:sz w:val="22"/>
      <w:szCs w:val="22"/>
      <w:vertAlign w:val="superscript"/>
    </w:rPr>
  </w:style>
  <w:style w:type="character" w:customStyle="1" w:styleId="normaltextrun">
    <w:name w:val="normaltextrun"/>
    <w:basedOn w:val="Standardnpsmoodstavce"/>
    <w:rsid w:val="00E918C9"/>
  </w:style>
  <w:style w:type="table" w:customStyle="1" w:styleId="Mkatabulky5">
    <w:name w:val="Mřížka tabulky5"/>
    <w:basedOn w:val="Normlntabulka"/>
    <w:next w:val="Mkatabulky"/>
    <w:uiPriority w:val="59"/>
    <w:rsid w:val="0088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265543"/>
  </w:style>
  <w:style w:type="character" w:styleId="Odkaznakoment">
    <w:name w:val="annotation reference"/>
    <w:basedOn w:val="Standardnpsmoodstavce"/>
    <w:uiPriority w:val="99"/>
    <w:semiHidden/>
    <w:unhideWhenUsed/>
    <w:rsid w:val="00E016AD"/>
    <w:rPr>
      <w:sz w:val="16"/>
      <w:szCs w:val="16"/>
    </w:rPr>
  </w:style>
  <w:style w:type="paragraph" w:styleId="Textkomente">
    <w:name w:val="annotation text"/>
    <w:basedOn w:val="Normln"/>
    <w:link w:val="TextkomenteChar"/>
    <w:uiPriority w:val="99"/>
    <w:semiHidden/>
    <w:unhideWhenUsed/>
    <w:rsid w:val="00E016AD"/>
    <w:rPr>
      <w:sz w:val="20"/>
      <w:szCs w:val="20"/>
    </w:rPr>
  </w:style>
  <w:style w:type="character" w:customStyle="1" w:styleId="TextkomenteChar">
    <w:name w:val="Text komentáře Char"/>
    <w:basedOn w:val="Standardnpsmoodstavce"/>
    <w:link w:val="Textkomente"/>
    <w:uiPriority w:val="99"/>
    <w:semiHidden/>
    <w:rsid w:val="00E016A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016AD"/>
    <w:rPr>
      <w:b/>
      <w:bCs/>
    </w:rPr>
  </w:style>
  <w:style w:type="character" w:customStyle="1" w:styleId="PedmtkomenteChar">
    <w:name w:val="Předmět komentáře Char"/>
    <w:basedOn w:val="TextkomenteChar"/>
    <w:link w:val="Pedmtkomente"/>
    <w:uiPriority w:val="99"/>
    <w:semiHidden/>
    <w:rsid w:val="00E016AD"/>
    <w:rPr>
      <w:rFonts w:ascii="Calibri" w:eastAsia="Calibri" w:hAnsi="Calibri" w:cs="Times New Roman"/>
      <w:b/>
      <w:bCs/>
      <w:sz w:val="20"/>
      <w:szCs w:val="20"/>
    </w:rPr>
  </w:style>
  <w:style w:type="paragraph" w:styleId="Revize">
    <w:name w:val="Revision"/>
    <w:hidden/>
    <w:uiPriority w:val="99"/>
    <w:semiHidden/>
    <w:rsid w:val="00F56908"/>
    <w:pPr>
      <w:spacing w:after="0" w:line="240" w:lineRule="auto"/>
    </w:pPr>
    <w:rPr>
      <w:rFonts w:ascii="Calibri" w:eastAsia="Calibri" w:hAnsi="Calibri" w:cs="Times New Roman"/>
      <w:sz w:val="24"/>
      <w:szCs w:val="24"/>
    </w:rPr>
  </w:style>
  <w:style w:type="paragraph" w:customStyle="1" w:styleId="Default">
    <w:name w:val="Default"/>
    <w:rsid w:val="00B63E7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16597">
      <w:bodyDiv w:val="1"/>
      <w:marLeft w:val="0"/>
      <w:marRight w:val="0"/>
      <w:marTop w:val="0"/>
      <w:marBottom w:val="0"/>
      <w:divBdr>
        <w:top w:val="none" w:sz="0" w:space="0" w:color="auto"/>
        <w:left w:val="none" w:sz="0" w:space="0" w:color="auto"/>
        <w:bottom w:val="none" w:sz="0" w:space="0" w:color="auto"/>
        <w:right w:val="none" w:sz="0" w:space="0" w:color="auto"/>
      </w:divBdr>
    </w:div>
    <w:div w:id="954676916">
      <w:bodyDiv w:val="1"/>
      <w:marLeft w:val="0"/>
      <w:marRight w:val="0"/>
      <w:marTop w:val="0"/>
      <w:marBottom w:val="0"/>
      <w:divBdr>
        <w:top w:val="none" w:sz="0" w:space="0" w:color="auto"/>
        <w:left w:val="none" w:sz="0" w:space="0" w:color="auto"/>
        <w:bottom w:val="none" w:sz="0" w:space="0" w:color="auto"/>
        <w:right w:val="none" w:sz="0" w:space="0" w:color="auto"/>
      </w:divBdr>
    </w:div>
    <w:div w:id="1620526989">
      <w:bodyDiv w:val="1"/>
      <w:marLeft w:val="0"/>
      <w:marRight w:val="0"/>
      <w:marTop w:val="0"/>
      <w:marBottom w:val="0"/>
      <w:divBdr>
        <w:top w:val="none" w:sz="0" w:space="0" w:color="auto"/>
        <w:left w:val="none" w:sz="0" w:space="0" w:color="auto"/>
        <w:bottom w:val="none" w:sz="0" w:space="0" w:color="auto"/>
        <w:right w:val="none" w:sz="0" w:space="0" w:color="auto"/>
      </w:divBdr>
    </w:div>
    <w:div w:id="17402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limatickazmena.cz/cs/"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km.cz/por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mpo.cz/cz/energetika/energeticka-ucinnost/ekodesign-a-energeticke-stitkovani-vyrobku/oznacovani-vyrobku-energetickymi-stitky--250358/" TargetMode="External"/><Relationship Id="rId2" Type="http://schemas.openxmlformats.org/officeDocument/2006/relationships/hyperlink" Target="https://eur-lex.europa.eu/legal-content/CS/TXT/PDF/?uri=CELEX:32020R0852&amp;from=IT"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cb9c23d64ca52195e98b2844af0647b2">
  <xsd:schema xmlns:xsd="http://www.w3.org/2001/XMLSchema" xmlns:xs="http://www.w3.org/2001/XMLSchema" xmlns:p="http://schemas.microsoft.com/office/2006/metadata/properties" xmlns:ns2="c901dcab-5c60-4e8e-adc9-0c7b361f0e15" xmlns:ns3="513a4330-68e5-46ad-8e16-8cb7e185a001" targetNamespace="http://schemas.microsoft.com/office/2006/metadata/properties" ma:root="true" ma:fieldsID="05e084d55151c51c043444a1a40b4643" ns2:_="" ns3:_="">
    <xsd:import namespace="c901dcab-5c60-4e8e-adc9-0c7b361f0e15"/>
    <xsd:import namespace="513a4330-68e5-46ad-8e16-8cb7e185a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a4330-68e5-46ad-8e16-8cb7e185a00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C0E6-4B76-4ADB-BD9E-73AD71A42242}">
  <ds:schemaRefs>
    <ds:schemaRef ds:uri="http://schemas.microsoft.com/sharepoint/v3/contenttype/forms"/>
  </ds:schemaRefs>
</ds:datastoreItem>
</file>

<file path=customXml/itemProps2.xml><?xml version="1.0" encoding="utf-8"?>
<ds:datastoreItem xmlns:ds="http://schemas.openxmlformats.org/officeDocument/2006/customXml" ds:itemID="{08203524-87EF-44E2-8F90-CD5EB642BBD1}">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c901dcab-5c60-4e8e-adc9-0c7b361f0e15"/>
    <ds:schemaRef ds:uri="http://purl.org/dc/terms/"/>
    <ds:schemaRef ds:uri="http://purl.org/dc/elements/1.1/"/>
    <ds:schemaRef ds:uri="http://schemas.openxmlformats.org/package/2006/metadata/core-properties"/>
    <ds:schemaRef ds:uri="513a4330-68e5-46ad-8e16-8cb7e185a001"/>
    <ds:schemaRef ds:uri="http://www.w3.org/XML/1998/namespace"/>
  </ds:schemaRefs>
</ds:datastoreItem>
</file>

<file path=customXml/itemProps3.xml><?xml version="1.0" encoding="utf-8"?>
<ds:datastoreItem xmlns:ds="http://schemas.openxmlformats.org/officeDocument/2006/customXml" ds:itemID="{601C4CA8-AFDE-44D5-B012-47D72372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513a4330-68e5-46ad-8e16-8cb7e185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B8371-6AA5-498E-BF62-E5A8C31E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1902</Words>
  <Characters>11223</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Černohausová Zuzana</dc:creator>
  <cp:keywords/>
  <dc:description/>
  <cp:lastModifiedBy>Skalník Jan</cp:lastModifiedBy>
  <cp:revision>2</cp:revision>
  <cp:lastPrinted>2023-06-05T14:39:00Z</cp:lastPrinted>
  <dcterms:created xsi:type="dcterms:W3CDTF">2023-11-23T14:42:00Z</dcterms:created>
  <dcterms:modified xsi:type="dcterms:W3CDTF">2023-11-23T14:42:00Z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